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B37" w14:textId="717425A2" w:rsidR="006F0381" w:rsidRPr="00B818C3" w:rsidRDefault="006F0381" w:rsidP="00305C15">
      <w:pPr>
        <w:ind w:left="567" w:hanging="425"/>
        <w:jc w:val="both"/>
        <w:rPr>
          <w:rFonts w:ascii="Calibri Light" w:hAnsi="Calibri Light" w:cs="Calibri Light"/>
          <w:lang w:val="bg-BG"/>
        </w:rPr>
      </w:pPr>
    </w:p>
    <w:p w14:paraId="66B5B7B9" w14:textId="77777777" w:rsidR="00A42170" w:rsidRPr="00305C15" w:rsidRDefault="00A42170" w:rsidP="00800206">
      <w:pPr>
        <w:ind w:left="567" w:hanging="425"/>
        <w:jc w:val="center"/>
        <w:rPr>
          <w:rFonts w:ascii="Calibri Light" w:hAnsi="Calibri Light" w:cs="Calibri Light"/>
          <w:lang w:val="en-GB"/>
        </w:rPr>
      </w:pPr>
      <w:r w:rsidRPr="00305C15">
        <w:rPr>
          <w:lang w:val="bg"/>
        </w:rPr>
        <w:t>Шаблон за фиш за обучение</w:t>
      </w:r>
    </w:p>
    <w:p w14:paraId="64561DA1" w14:textId="77777777" w:rsidR="00A42170" w:rsidRPr="00305C15" w:rsidRDefault="00A42170" w:rsidP="00305C15">
      <w:pPr>
        <w:pStyle w:val="Ttulo1"/>
        <w:ind w:left="567" w:hanging="425"/>
        <w:jc w:val="both"/>
        <w:rPr>
          <w:rFonts w:ascii="Calibri Light" w:hAnsi="Calibri Light" w:cs="Calibri Light"/>
          <w:sz w:val="22"/>
          <w:szCs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A42170" w:rsidRPr="00737A03" w14:paraId="58BA0C02" w14:textId="77777777" w:rsidTr="00517970">
        <w:trPr>
          <w:trHeight w:hRule="exact" w:val="986"/>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6BB9921"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Заглавие</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5EE798D" w14:textId="7BD218CE" w:rsidR="00A42170" w:rsidRPr="00305C15" w:rsidRDefault="00CF5F41" w:rsidP="00305C15">
            <w:pPr>
              <w:ind w:left="567" w:hanging="425"/>
              <w:jc w:val="both"/>
              <w:rPr>
                <w:rFonts w:ascii="Calibri Light" w:hAnsi="Calibri Light" w:cs="Calibri Light"/>
                <w:lang w:val="en-GB"/>
              </w:rPr>
            </w:pPr>
            <w:r w:rsidRPr="00305C15">
              <w:rPr>
                <w:lang w:val="bg"/>
              </w:rPr>
              <w:t>Интернационализация и управление на износа / Управление на взаимоотношенията с клиенти / Управление на износа</w:t>
            </w:r>
          </w:p>
        </w:tc>
      </w:tr>
      <w:tr w:rsidR="00A42170" w:rsidRPr="00737A03" w14:paraId="40BC47B2" w14:textId="77777777" w:rsidTr="00305C15">
        <w:trPr>
          <w:trHeight w:hRule="exact" w:val="1251"/>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46B973E"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Ключови думи (мета таг)</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9622A7" w14:textId="13678187" w:rsidR="00A42170" w:rsidRPr="00305C15" w:rsidRDefault="00517970" w:rsidP="00305C15">
            <w:pPr>
              <w:ind w:left="567" w:hanging="425"/>
              <w:jc w:val="both"/>
              <w:rPr>
                <w:rFonts w:ascii="Calibri Light" w:hAnsi="Calibri Light" w:cs="Calibri Light"/>
                <w:b/>
                <w:lang w:val="en-GB"/>
              </w:rPr>
            </w:pPr>
            <w:r w:rsidRPr="00305C15">
              <w:rPr>
                <w:b/>
                <w:lang w:val="bg"/>
              </w:rPr>
              <w:t xml:space="preserve">промоционални програми, доходи, чуждестранни пазари, експортна стратегия, трансгранична търговия, правила за </w:t>
            </w:r>
            <w:r w:rsidR="005602E1" w:rsidRPr="00305C15">
              <w:rPr>
                <w:b/>
                <w:lang w:val="bg"/>
              </w:rPr>
              <w:t>международна търговия</w:t>
            </w:r>
          </w:p>
        </w:tc>
      </w:tr>
      <w:tr w:rsidR="00A42170" w:rsidRPr="00305C15" w14:paraId="3D2D13D4" w14:textId="77777777" w:rsidTr="00B43C8E">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2174824"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Предоставена от</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23743B4" w14:textId="7909F747" w:rsidR="00A42170" w:rsidRPr="00305C15" w:rsidRDefault="0061276A" w:rsidP="00305C15">
            <w:pPr>
              <w:ind w:left="567" w:hanging="425"/>
              <w:jc w:val="both"/>
              <w:rPr>
                <w:rFonts w:ascii="Calibri Light" w:hAnsi="Calibri Light" w:cs="Calibri Light"/>
                <w:b/>
                <w:lang w:val="en-US"/>
              </w:rPr>
            </w:pPr>
            <w:r>
              <w:rPr>
                <w:b/>
                <w:lang w:val="bg"/>
              </w:rPr>
              <w:t>АИР</w:t>
            </w:r>
            <w:r w:rsidR="00305C15">
              <w:rPr>
                <w:b/>
                <w:lang w:val="bg"/>
              </w:rPr>
              <w:t xml:space="preserve"> Костинброд</w:t>
            </w:r>
          </w:p>
        </w:tc>
      </w:tr>
      <w:tr w:rsidR="00A42170" w:rsidRPr="00305C15" w14:paraId="098C7A21"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55E71C7"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Език</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33F96E5" w14:textId="2367C3DA" w:rsidR="00A42170" w:rsidRPr="00305C15" w:rsidRDefault="00B818C3" w:rsidP="00305C15">
            <w:pPr>
              <w:ind w:left="567" w:hanging="425"/>
              <w:jc w:val="both"/>
              <w:rPr>
                <w:rFonts w:ascii="Calibri Light" w:hAnsi="Calibri Light" w:cs="Calibri Light"/>
                <w:lang w:val="en-GB"/>
              </w:rPr>
            </w:pPr>
            <w:r>
              <w:rPr>
                <w:lang w:val="bg"/>
              </w:rPr>
              <w:t>Български</w:t>
            </w:r>
          </w:p>
        </w:tc>
      </w:tr>
      <w:tr w:rsidR="00A42170" w:rsidRPr="00305C15" w14:paraId="4AD93C9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D35FA89" w14:textId="0794555D" w:rsidR="00A42170" w:rsidRPr="0086112C" w:rsidRDefault="00A42170" w:rsidP="00305C15">
            <w:pPr>
              <w:ind w:left="567" w:hanging="425"/>
              <w:jc w:val="both"/>
              <w:rPr>
                <w:rFonts w:ascii="Calibri Light" w:hAnsi="Calibri Light" w:cs="Calibri Light"/>
                <w:b/>
                <w:color w:val="FFFFFF"/>
              </w:rPr>
            </w:pPr>
            <w:r w:rsidRPr="00305C15">
              <w:rPr>
                <w:b/>
                <w:color w:val="FFFFFF"/>
                <w:lang w:val="bg"/>
              </w:rPr>
              <w:t>Цели / резултати от обучението</w:t>
            </w:r>
          </w:p>
        </w:tc>
      </w:tr>
      <w:tr w:rsidR="00A42170" w:rsidRPr="00737A03" w14:paraId="50EF8091"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F9C798B" w14:textId="13C598A3" w:rsidR="00A42170" w:rsidRPr="00973A14" w:rsidRDefault="000D1A45" w:rsidP="00973A14">
            <w:pPr>
              <w:ind w:left="567" w:hanging="425"/>
              <w:jc w:val="both"/>
              <w:rPr>
                <w:lang w:val="bg"/>
              </w:rPr>
            </w:pPr>
            <w:r w:rsidRPr="00305C15">
              <w:rPr>
                <w:lang w:val="bg"/>
              </w:rPr>
              <w:t xml:space="preserve">Основната цел на курса е да се обърне внимание на интернационализацията, </w:t>
            </w:r>
            <w:r w:rsidR="005642A2">
              <w:rPr>
                <w:lang w:val="bg"/>
              </w:rPr>
              <w:t>у</w:t>
            </w:r>
            <w:r w:rsidRPr="00305C15">
              <w:rPr>
                <w:lang w:val="bg"/>
              </w:rPr>
              <w:t>правление</w:t>
            </w:r>
            <w:r w:rsidR="005642A2">
              <w:rPr>
                <w:lang w:val="bg"/>
              </w:rPr>
              <w:t>то</w:t>
            </w:r>
            <w:r w:rsidRPr="00305C15">
              <w:rPr>
                <w:lang w:val="bg"/>
              </w:rPr>
              <w:t xml:space="preserve"> на износа, управление</w:t>
            </w:r>
            <w:r w:rsidR="005642A2">
              <w:rPr>
                <w:lang w:val="bg"/>
              </w:rPr>
              <w:t>то</w:t>
            </w:r>
            <w:r w:rsidRPr="00305C15">
              <w:rPr>
                <w:lang w:val="bg"/>
              </w:rPr>
              <w:t xml:space="preserve"> на взаимоотношенията с клиентите по начин, който повишава осведомеността на </w:t>
            </w:r>
            <w:r w:rsidR="00884424">
              <w:rPr>
                <w:lang w:val="bg"/>
              </w:rPr>
              <w:t>обучаемите</w:t>
            </w:r>
            <w:r w:rsidRPr="00305C15">
              <w:rPr>
                <w:lang w:val="bg"/>
              </w:rPr>
              <w:t xml:space="preserve"> </w:t>
            </w:r>
            <w:r w:rsidR="0061276A">
              <w:rPr>
                <w:lang w:val="bg"/>
              </w:rPr>
              <w:t xml:space="preserve">и ги насърчава </w:t>
            </w:r>
            <w:r w:rsidRPr="00305C15">
              <w:rPr>
                <w:lang w:val="bg"/>
              </w:rPr>
              <w:t xml:space="preserve">да </w:t>
            </w:r>
            <w:r w:rsidR="0061276A">
              <w:rPr>
                <w:lang w:val="bg"/>
              </w:rPr>
              <w:t>съ</w:t>
            </w:r>
            <w:r w:rsidRPr="00305C15">
              <w:rPr>
                <w:lang w:val="bg"/>
              </w:rPr>
              <w:t>знаят стойността на знани</w:t>
            </w:r>
            <w:r w:rsidR="009C0D60">
              <w:rPr>
                <w:lang w:val="bg"/>
              </w:rPr>
              <w:t>ето</w:t>
            </w:r>
            <w:r w:rsidRPr="00305C15">
              <w:rPr>
                <w:lang w:val="bg"/>
              </w:rPr>
              <w:t xml:space="preserve"> не само по практически начин, но и по начин, по който темите  трансформират начина</w:t>
            </w:r>
            <w:r w:rsidR="009C0D60">
              <w:rPr>
                <w:lang w:val="bg"/>
              </w:rPr>
              <w:t xml:space="preserve"> им</w:t>
            </w:r>
            <w:r w:rsidRPr="00305C15">
              <w:rPr>
                <w:lang w:val="bg"/>
              </w:rPr>
              <w:t xml:space="preserve"> на мислене</w:t>
            </w:r>
            <w:r w:rsidR="009C0D60">
              <w:rPr>
                <w:lang w:val="bg"/>
              </w:rPr>
              <w:t xml:space="preserve">. </w:t>
            </w:r>
            <w:r w:rsidR="00121006">
              <w:rPr>
                <w:lang w:val="bg"/>
              </w:rPr>
              <w:t>В крайна сметка тази трансформация да доведе до привличане на нови клиенти</w:t>
            </w:r>
            <w:r w:rsidR="00973A14">
              <w:rPr>
                <w:lang w:val="bg"/>
              </w:rPr>
              <w:t xml:space="preserve"> и укрепване на пазарните позиции на фирмите. </w:t>
            </w:r>
          </w:p>
        </w:tc>
      </w:tr>
      <w:tr w:rsidR="00A42170" w:rsidRPr="00305C15" w14:paraId="791C5C20"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F2427ED"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Описание</w:t>
            </w:r>
          </w:p>
        </w:tc>
      </w:tr>
      <w:tr w:rsidR="00A42170" w:rsidRPr="00737A03" w14:paraId="11168B52"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CA686DA" w14:textId="23ECC573" w:rsidR="000D1A45" w:rsidRPr="0086112C" w:rsidRDefault="000D1A45" w:rsidP="00305C15">
            <w:pPr>
              <w:ind w:left="567" w:hanging="425"/>
              <w:jc w:val="both"/>
              <w:rPr>
                <w:rFonts w:ascii="Calibri Light" w:hAnsi="Calibri Light" w:cs="Calibri Light"/>
                <w:lang w:val="bg"/>
              </w:rPr>
            </w:pPr>
            <w:r w:rsidRPr="00305C15">
              <w:rPr>
                <w:lang w:val="bg"/>
              </w:rPr>
              <w:t xml:space="preserve">Модулът е разделен на 3 </w:t>
            </w:r>
            <w:r w:rsidR="002B6516">
              <w:rPr>
                <w:lang w:val="bg"/>
              </w:rPr>
              <w:t>секции</w:t>
            </w:r>
            <w:r w:rsidRPr="00305C15">
              <w:rPr>
                <w:lang w:val="bg"/>
              </w:rPr>
              <w:t xml:space="preserve">. Всяка от </w:t>
            </w:r>
            <w:r w:rsidR="002B6516">
              <w:rPr>
                <w:lang w:val="bg"/>
              </w:rPr>
              <w:t>секциите</w:t>
            </w:r>
            <w:r w:rsidRPr="00305C15">
              <w:rPr>
                <w:lang w:val="bg"/>
              </w:rPr>
              <w:t xml:space="preserve"> представя европейско достъпни инструменти</w:t>
            </w:r>
            <w:r w:rsidR="002B6516">
              <w:rPr>
                <w:lang w:val="bg"/>
              </w:rPr>
              <w:t xml:space="preserve"> </w:t>
            </w:r>
            <w:r w:rsidRPr="00305C15">
              <w:rPr>
                <w:lang w:val="bg"/>
              </w:rPr>
              <w:t>/ политики в две насоки – обща информация и възможности за подкрепа.</w:t>
            </w:r>
          </w:p>
          <w:p w14:paraId="50073E32" w14:textId="4B905D5E" w:rsidR="00A42170" w:rsidRPr="0086112C" w:rsidRDefault="000D1A45" w:rsidP="00305C15">
            <w:pPr>
              <w:ind w:left="567" w:hanging="425"/>
              <w:jc w:val="both"/>
              <w:rPr>
                <w:rFonts w:ascii="Calibri Light" w:hAnsi="Calibri Light" w:cs="Calibri Light"/>
                <w:lang w:val="bg"/>
              </w:rPr>
            </w:pPr>
            <w:r w:rsidRPr="00305C15">
              <w:rPr>
                <w:lang w:val="bg"/>
              </w:rPr>
              <w:t>Темите предоставят основни знания и обръщат внимание на инструментите на политиката, които предлагат възможност за финансиране на идеи, създаване на клъстерни съюзи и насърчаване на младите земеделски стопани да участват във вземането на решения в областта на политиката в ЕС.</w:t>
            </w:r>
          </w:p>
          <w:p w14:paraId="7C5AC8DE" w14:textId="77777777" w:rsidR="00A42170" w:rsidRPr="0086112C" w:rsidRDefault="00A42170" w:rsidP="00305C15">
            <w:pPr>
              <w:ind w:left="567" w:hanging="425"/>
              <w:jc w:val="both"/>
              <w:rPr>
                <w:rFonts w:ascii="Calibri Light" w:hAnsi="Calibri Light" w:cs="Calibri Light"/>
                <w:lang w:val="bg"/>
              </w:rPr>
            </w:pPr>
          </w:p>
          <w:p w14:paraId="41D8F82A" w14:textId="77777777" w:rsidR="000D1A45" w:rsidRPr="0086112C" w:rsidRDefault="000D1A45" w:rsidP="00305C15">
            <w:pPr>
              <w:ind w:left="567" w:hanging="425"/>
              <w:jc w:val="both"/>
              <w:rPr>
                <w:rFonts w:ascii="Calibri Light" w:hAnsi="Calibri Light" w:cs="Calibri Light"/>
                <w:lang w:val="bg"/>
              </w:rPr>
            </w:pPr>
          </w:p>
          <w:p w14:paraId="5596B124" w14:textId="77777777" w:rsidR="000D1A45" w:rsidRPr="0086112C" w:rsidRDefault="000D1A45" w:rsidP="00305C15">
            <w:pPr>
              <w:ind w:left="567" w:hanging="425"/>
              <w:jc w:val="both"/>
              <w:rPr>
                <w:rFonts w:ascii="Calibri Light" w:hAnsi="Calibri Light" w:cs="Calibri Light"/>
                <w:lang w:val="bg"/>
              </w:rPr>
            </w:pPr>
          </w:p>
        </w:tc>
      </w:tr>
      <w:tr w:rsidR="00A42170" w:rsidRPr="00305C15" w14:paraId="6EF69842"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8EB8914"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lastRenderedPageBreak/>
              <w:t>Съдържание, подредено в 3 нива</w:t>
            </w:r>
          </w:p>
        </w:tc>
      </w:tr>
      <w:tr w:rsidR="005857EB" w:rsidRPr="00737A03" w14:paraId="3D2E93F3"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BE15B99" w14:textId="77777777" w:rsidR="00517970" w:rsidRPr="002D240F" w:rsidRDefault="00517970" w:rsidP="00305C15">
            <w:pPr>
              <w:spacing w:after="120" w:line="240" w:lineRule="auto"/>
              <w:ind w:left="567" w:hanging="425"/>
              <w:jc w:val="both"/>
              <w:rPr>
                <w:rFonts w:cs="Calibri"/>
                <w:lang w:val="bg-BG"/>
              </w:rPr>
            </w:pPr>
          </w:p>
          <w:p w14:paraId="3F83FA50" w14:textId="02A14EBE" w:rsidR="00A42170" w:rsidRPr="002D240F" w:rsidRDefault="00A42170" w:rsidP="00305C15">
            <w:pPr>
              <w:pStyle w:val="Ttulo1"/>
              <w:numPr>
                <w:ilvl w:val="0"/>
                <w:numId w:val="5"/>
              </w:numPr>
              <w:jc w:val="both"/>
              <w:rPr>
                <w:rFonts w:ascii="Calibri" w:hAnsi="Calibri" w:cs="Calibri"/>
                <w:sz w:val="22"/>
                <w:szCs w:val="22"/>
                <w:lang w:val="bg-BG"/>
              </w:rPr>
            </w:pPr>
            <w:bookmarkStart w:id="0" w:name="_Toc92359748"/>
            <w:r w:rsidRPr="002D240F">
              <w:rPr>
                <w:rFonts w:ascii="Calibri" w:hAnsi="Calibri" w:cs="Calibri"/>
                <w:sz w:val="22"/>
                <w:szCs w:val="22"/>
                <w:lang w:val="bg"/>
              </w:rPr>
              <w:t>Интернационализация и управление на износа / Управление на взаимоотношенията с клиенти / Управление на експортирането</w:t>
            </w:r>
            <w:bookmarkEnd w:id="0"/>
          </w:p>
          <w:p w14:paraId="4526A11C" w14:textId="63EB5ABF" w:rsidR="00A42170" w:rsidRPr="002D240F" w:rsidRDefault="00A42170" w:rsidP="00305C15">
            <w:pPr>
              <w:pStyle w:val="Ttulo2"/>
              <w:numPr>
                <w:ilvl w:val="1"/>
                <w:numId w:val="5"/>
              </w:numPr>
              <w:jc w:val="both"/>
              <w:rPr>
                <w:rFonts w:ascii="Calibri" w:hAnsi="Calibri" w:cs="Calibri"/>
                <w:sz w:val="22"/>
                <w:szCs w:val="22"/>
                <w:lang w:val="en-GB"/>
              </w:rPr>
            </w:pPr>
            <w:bookmarkStart w:id="1" w:name="_Toc92359749"/>
            <w:r w:rsidRPr="002D240F">
              <w:rPr>
                <w:rFonts w:ascii="Calibri" w:hAnsi="Calibri" w:cs="Calibri"/>
                <w:sz w:val="22"/>
                <w:szCs w:val="22"/>
                <w:lang w:val="bg"/>
              </w:rPr>
              <w:t>Интернационализация</w:t>
            </w:r>
            <w:bookmarkEnd w:id="1"/>
          </w:p>
          <w:p w14:paraId="59202207" w14:textId="7E4C4B3C" w:rsidR="00A42170" w:rsidRPr="002D240F" w:rsidRDefault="001B0C04" w:rsidP="00305C15">
            <w:pPr>
              <w:pStyle w:val="Ttulo3"/>
              <w:numPr>
                <w:ilvl w:val="2"/>
                <w:numId w:val="5"/>
              </w:numPr>
              <w:jc w:val="both"/>
              <w:rPr>
                <w:rFonts w:ascii="Calibri" w:hAnsi="Calibri" w:cs="Calibri"/>
                <w:sz w:val="22"/>
                <w:szCs w:val="22"/>
                <w:lang w:val="en-GB"/>
              </w:rPr>
            </w:pPr>
            <w:bookmarkStart w:id="2" w:name="_Toc92359750"/>
            <w:r w:rsidRPr="002D240F">
              <w:rPr>
                <w:rFonts w:ascii="Calibri" w:hAnsi="Calibri" w:cs="Calibri"/>
                <w:sz w:val="22"/>
                <w:szCs w:val="22"/>
                <w:lang w:val="bg"/>
              </w:rPr>
              <w:t xml:space="preserve"> </w:t>
            </w:r>
            <w:r w:rsidR="00C13922" w:rsidRPr="002D240F">
              <w:rPr>
                <w:rFonts w:ascii="Calibri" w:hAnsi="Calibri" w:cs="Calibri"/>
                <w:sz w:val="22"/>
                <w:szCs w:val="22"/>
                <w:lang w:val="bg"/>
              </w:rPr>
              <w:t>Насърчаване на селскостопански продукти</w:t>
            </w:r>
            <w:bookmarkEnd w:id="2"/>
          </w:p>
          <w:p w14:paraId="2608056E" w14:textId="436276D2" w:rsidR="00D11394" w:rsidRPr="002D240F" w:rsidRDefault="00E629B3" w:rsidP="00305C15">
            <w:pPr>
              <w:shd w:val="clear" w:color="auto" w:fill="FFFFFF"/>
              <w:spacing w:after="120" w:line="240" w:lineRule="auto"/>
              <w:jc w:val="both"/>
              <w:rPr>
                <w:rFonts w:eastAsia="Times New Roman" w:cs="Calibri"/>
                <w:lang w:val="bg" w:eastAsia="bg-BG"/>
              </w:rPr>
            </w:pPr>
            <w:r w:rsidRPr="002D240F">
              <w:rPr>
                <w:rFonts w:cs="Calibri"/>
                <w:lang w:val="bg" w:eastAsia="bg-BG"/>
              </w:rPr>
              <w:t>За всяка година Европейската комисия създава работна програма за насоки, която може да идентифицира целеви сектори и/или схеми за насърчаване на част от финансирането. Поканите за представяне на предложения за конкретни кампании се публикуват в началото на годината. Така наречените "обикновени" програми могат да бъдат представяни от една или повече организации от една и съща държава от ЕС</w:t>
            </w:r>
            <w:r w:rsidR="00BF5109" w:rsidRPr="002D240F">
              <w:rPr>
                <w:rFonts w:cs="Calibri"/>
                <w:lang w:val="bg" w:eastAsia="bg-BG"/>
              </w:rPr>
              <w:t xml:space="preserve"> (за допълнителна информация, моля, кликнете </w:t>
            </w:r>
            <w:hyperlink r:id="rId8" w:history="1">
              <w:r w:rsidR="00DB5EF4" w:rsidRPr="002D240F">
                <w:rPr>
                  <w:rStyle w:val="Hipervnculo"/>
                  <w:rFonts w:cs="Calibri"/>
                  <w:lang w:val="bg" w:eastAsia="bg-BG"/>
                </w:rPr>
                <w:t>тук</w:t>
              </w:r>
            </w:hyperlink>
            <w:r w:rsidR="00BF5109" w:rsidRPr="002D240F">
              <w:rPr>
                <w:rFonts w:cs="Calibri"/>
                <w:lang w:val="bg" w:eastAsia="bg-BG"/>
              </w:rPr>
              <w:t xml:space="preserve">) </w:t>
            </w:r>
            <w:r w:rsidR="00450F00" w:rsidRPr="002D240F">
              <w:rPr>
                <w:rFonts w:cs="Calibri"/>
                <w:lang w:val="bg" w:eastAsia="bg-BG"/>
              </w:rPr>
              <w:t>"многонационални" програми могат да бъдат представяни от най-малко две национални организации от най-малко две държави членки или от една или повече европейски организации</w:t>
            </w:r>
            <w:r w:rsidR="00F40DA1" w:rsidRPr="002D240F">
              <w:rPr>
                <w:rFonts w:cs="Calibri"/>
                <w:lang w:val="bg" w:eastAsia="bg-BG"/>
              </w:rPr>
              <w:t xml:space="preserve">. За допълнителна информация, моля кликнете </w:t>
            </w:r>
            <w:hyperlink r:id="rId9" w:history="1">
              <w:r w:rsidR="00F40DA1" w:rsidRPr="002D240F">
                <w:rPr>
                  <w:rStyle w:val="Hipervnculo"/>
                  <w:rFonts w:cs="Calibri"/>
                  <w:lang w:val="bg" w:eastAsia="bg-BG"/>
                </w:rPr>
                <w:t>тук</w:t>
              </w:r>
            </w:hyperlink>
            <w:r w:rsidR="00F40DA1" w:rsidRPr="002D240F">
              <w:rPr>
                <w:rFonts w:cs="Calibri"/>
                <w:lang w:val="bg" w:eastAsia="bg-BG"/>
              </w:rPr>
              <w:t>.</w:t>
            </w:r>
          </w:p>
          <w:p w14:paraId="482D30B5" w14:textId="1843C4FE" w:rsidR="00D11394" w:rsidRPr="002D240F" w:rsidRDefault="00754359" w:rsidP="00305C15">
            <w:pPr>
              <w:spacing w:after="120" w:line="240" w:lineRule="auto"/>
              <w:jc w:val="both"/>
              <w:rPr>
                <w:rFonts w:cs="Calibri"/>
                <w:lang w:val="bg-BG"/>
              </w:rPr>
            </w:pPr>
            <w:r w:rsidRPr="002D240F">
              <w:rPr>
                <w:rFonts w:cs="Calibri"/>
                <w:lang w:val="bg"/>
              </w:rPr>
              <w:t xml:space="preserve">Европейската комисия отпуска 182,9 милиона евро през 2021 г. за финансиране на дейности за насърчаване на агрохранителни продукти на ЕС у </w:t>
            </w:r>
            <w:hyperlink r:id="rId10" w:history="1">
              <w:r w:rsidRPr="002D240F">
                <w:rPr>
                  <w:rStyle w:val="Hipervnculo"/>
                  <w:rFonts w:cs="Calibri"/>
                  <w:lang w:val="bg"/>
                </w:rPr>
                <w:t>дома и в чужбина</w:t>
              </w:r>
            </w:hyperlink>
            <w:r w:rsidR="00E356B7" w:rsidRPr="002D240F">
              <w:rPr>
                <w:rFonts w:cs="Calibri"/>
                <w:lang w:val="bg"/>
              </w:rPr>
              <w:t>.</w:t>
            </w:r>
          </w:p>
          <w:p w14:paraId="352B17DF" w14:textId="4B7C99BB" w:rsidR="00754359" w:rsidRPr="002D240F" w:rsidRDefault="00754359" w:rsidP="00305C15">
            <w:pPr>
              <w:pStyle w:val="NormalWeb"/>
              <w:shd w:val="clear" w:color="auto" w:fill="FFFFFF"/>
              <w:spacing w:before="0" w:beforeAutospacing="0" w:after="120" w:afterAutospacing="0"/>
              <w:jc w:val="both"/>
              <w:rPr>
                <w:rFonts w:ascii="Calibri" w:hAnsi="Calibri" w:cs="Calibri"/>
                <w:sz w:val="22"/>
                <w:szCs w:val="22"/>
                <w:lang w:val="bg"/>
              </w:rPr>
            </w:pPr>
            <w:r w:rsidRPr="002D240F">
              <w:rPr>
                <w:rFonts w:ascii="Calibri" w:hAnsi="Calibri" w:cs="Calibri"/>
                <w:sz w:val="22"/>
                <w:szCs w:val="22"/>
                <w:lang w:val="bg"/>
              </w:rPr>
              <w:t xml:space="preserve">Работната програма за 2021 г. е насочена към кампании, които са в съответствие с амбициите на </w:t>
            </w:r>
            <w:hyperlink r:id="rId11" w:history="1">
              <w:r w:rsidRPr="002D240F">
                <w:rPr>
                  <w:rStyle w:val="Hipervnculo"/>
                  <w:rFonts w:ascii="Calibri" w:hAnsi="Calibri" w:cs="Calibri"/>
                  <w:color w:val="auto"/>
                  <w:sz w:val="22"/>
                  <w:szCs w:val="22"/>
                  <w:lang w:val="bg"/>
                </w:rPr>
                <w:t>Европейск</w:t>
              </w:r>
              <w:r w:rsidR="00A20556" w:rsidRPr="002D240F">
                <w:rPr>
                  <w:rStyle w:val="Hipervnculo"/>
                  <w:rFonts w:ascii="Calibri" w:hAnsi="Calibri" w:cs="Calibri"/>
                  <w:color w:val="auto"/>
                  <w:sz w:val="22"/>
                  <w:szCs w:val="22"/>
                  <w:lang w:val="bg"/>
                </w:rPr>
                <w:t>ата</w:t>
              </w:r>
              <w:r w:rsidRPr="002D240F">
                <w:rPr>
                  <w:rStyle w:val="Hipervnculo"/>
                  <w:rFonts w:ascii="Calibri" w:hAnsi="Calibri" w:cs="Calibri"/>
                  <w:color w:val="auto"/>
                  <w:sz w:val="22"/>
                  <w:szCs w:val="22"/>
                  <w:lang w:val="bg"/>
                </w:rPr>
                <w:t xml:space="preserve"> зелен</w:t>
              </w:r>
              <w:r w:rsidR="00A20556" w:rsidRPr="002D240F">
                <w:rPr>
                  <w:rStyle w:val="Hipervnculo"/>
                  <w:rFonts w:ascii="Calibri" w:hAnsi="Calibri" w:cs="Calibri"/>
                  <w:color w:val="auto"/>
                  <w:sz w:val="22"/>
                  <w:szCs w:val="22"/>
                  <w:lang w:val="bg"/>
                </w:rPr>
                <w:t>а</w:t>
              </w:r>
              <w:r w:rsidRPr="002D240F">
                <w:rPr>
                  <w:rStyle w:val="Hipervnculo"/>
                  <w:rFonts w:ascii="Calibri" w:hAnsi="Calibri" w:cs="Calibri"/>
                  <w:color w:val="auto"/>
                  <w:sz w:val="22"/>
                  <w:szCs w:val="22"/>
                  <w:lang w:val="bg"/>
                </w:rPr>
                <w:t xml:space="preserve"> </w:t>
              </w:r>
            </w:hyperlink>
            <w:r w:rsidR="00A20556" w:rsidRPr="002D240F">
              <w:rPr>
                <w:rStyle w:val="Hipervnculo"/>
                <w:rFonts w:ascii="Calibri" w:hAnsi="Calibri" w:cs="Calibri"/>
                <w:color w:val="auto"/>
                <w:sz w:val="22"/>
                <w:szCs w:val="22"/>
                <w:lang w:val="bg"/>
              </w:rPr>
              <w:t>сделка</w:t>
            </w:r>
            <w:r w:rsidRPr="002D240F">
              <w:rPr>
                <w:rFonts w:ascii="Calibri" w:hAnsi="Calibri" w:cs="Calibri"/>
                <w:sz w:val="22"/>
                <w:szCs w:val="22"/>
                <w:lang w:val="bg"/>
              </w:rPr>
              <w:t xml:space="preserve">. Почти половината от бюджета (86 милиона евро) ще премине към кампании, които насърчават </w:t>
            </w:r>
            <w:hyperlink r:id="rId12" w:history="1">
              <w:r w:rsidRPr="002D240F">
                <w:rPr>
                  <w:rStyle w:val="Hipervnculo"/>
                  <w:rFonts w:ascii="Calibri" w:hAnsi="Calibri" w:cs="Calibri"/>
                  <w:color w:val="auto"/>
                  <w:sz w:val="22"/>
                  <w:szCs w:val="22"/>
                  <w:lang w:val="bg"/>
                </w:rPr>
                <w:t>биологичните продукти</w:t>
              </w:r>
            </w:hyperlink>
            <w:r w:rsidRPr="002D240F">
              <w:rPr>
                <w:rFonts w:ascii="Calibri" w:hAnsi="Calibri" w:cs="Calibri"/>
                <w:sz w:val="22"/>
                <w:szCs w:val="22"/>
                <w:lang w:val="bg"/>
              </w:rPr>
              <w:t xml:space="preserve">, </w:t>
            </w:r>
            <w:hyperlink r:id="rId13" w:history="1">
              <w:r w:rsidRPr="002D240F">
                <w:rPr>
                  <w:rStyle w:val="Hipervnculo"/>
                  <w:rFonts w:ascii="Calibri" w:hAnsi="Calibri" w:cs="Calibri"/>
                  <w:color w:val="auto"/>
                  <w:sz w:val="22"/>
                  <w:szCs w:val="22"/>
                  <w:lang w:val="bg"/>
                </w:rPr>
                <w:t>устойчивото селско стопанство</w:t>
              </w:r>
            </w:hyperlink>
            <w:r w:rsidRPr="002D240F">
              <w:rPr>
                <w:rFonts w:ascii="Calibri" w:hAnsi="Calibri" w:cs="Calibri"/>
                <w:sz w:val="22"/>
                <w:szCs w:val="22"/>
                <w:lang w:val="bg"/>
              </w:rPr>
              <w:t xml:space="preserve"> на ЕС, както и ролята на хранително-вкусовата промишленост по отношение на действията в областта на климата и околната среда. Кампаниите ще подчертаят и </w:t>
            </w:r>
            <w:hyperlink r:id="rId14" w:history="1">
              <w:r w:rsidRPr="002D240F">
                <w:rPr>
                  <w:rStyle w:val="Hipervnculo"/>
                  <w:rFonts w:ascii="Calibri" w:hAnsi="Calibri" w:cs="Calibri"/>
                  <w:color w:val="auto"/>
                  <w:sz w:val="22"/>
                  <w:szCs w:val="22"/>
                  <w:lang w:val="bg"/>
                </w:rPr>
                <w:t>високите стандарти за безопасност</w:t>
              </w:r>
            </w:hyperlink>
            <w:r w:rsidRPr="002D240F">
              <w:rPr>
                <w:rFonts w:ascii="Calibri" w:hAnsi="Calibri" w:cs="Calibri"/>
                <w:sz w:val="22"/>
                <w:szCs w:val="22"/>
                <w:lang w:val="bg"/>
              </w:rPr>
              <w:t xml:space="preserve"> на агрохранителните продукти на ЕС, както и разнообразната и традиционна гама от продукти, подкрепяни от </w:t>
            </w:r>
            <w:hyperlink r:id="rId15" w:history="1">
              <w:r w:rsidRPr="002D240F">
                <w:rPr>
                  <w:rStyle w:val="Hipervnculo"/>
                  <w:rFonts w:ascii="Calibri" w:hAnsi="Calibri" w:cs="Calibri"/>
                  <w:color w:val="auto"/>
                  <w:sz w:val="22"/>
                  <w:szCs w:val="22"/>
                  <w:lang w:val="bg"/>
                </w:rPr>
                <w:t>схемите на ЕС за качество</w:t>
              </w:r>
            </w:hyperlink>
            <w:r w:rsidRPr="002D240F">
              <w:rPr>
                <w:rFonts w:ascii="Calibri" w:hAnsi="Calibri" w:cs="Calibri"/>
                <w:sz w:val="22"/>
                <w:szCs w:val="22"/>
                <w:lang w:val="bg"/>
              </w:rPr>
              <w:t>.</w:t>
            </w:r>
          </w:p>
          <w:p w14:paraId="513F8FF7" w14:textId="7E1978BB" w:rsidR="00754359" w:rsidRPr="002D240F" w:rsidRDefault="00754359" w:rsidP="00305C15">
            <w:pPr>
              <w:pStyle w:val="NormalWeb"/>
              <w:shd w:val="clear" w:color="auto" w:fill="FFFFFF"/>
              <w:spacing w:before="0" w:beforeAutospacing="0" w:after="120" w:afterAutospacing="0"/>
              <w:jc w:val="both"/>
              <w:rPr>
                <w:rFonts w:ascii="Calibri" w:hAnsi="Calibri" w:cs="Calibri"/>
                <w:sz w:val="22"/>
                <w:szCs w:val="22"/>
                <w:lang w:val="bg"/>
              </w:rPr>
            </w:pPr>
            <w:r w:rsidRPr="002D240F">
              <w:rPr>
                <w:rFonts w:ascii="Calibri" w:hAnsi="Calibri" w:cs="Calibri"/>
                <w:sz w:val="22"/>
                <w:szCs w:val="22"/>
                <w:lang w:val="bg"/>
              </w:rPr>
              <w:t>Кампаниите, насочени към държави извън ЕС, с</w:t>
            </w:r>
            <w:r w:rsidR="00590AFF" w:rsidRPr="002D240F">
              <w:rPr>
                <w:rFonts w:ascii="Calibri" w:hAnsi="Calibri" w:cs="Calibri"/>
                <w:sz w:val="22"/>
                <w:szCs w:val="22"/>
                <w:lang w:val="bg"/>
              </w:rPr>
              <w:t>а з</w:t>
            </w:r>
            <w:r w:rsidRPr="002D240F">
              <w:rPr>
                <w:rFonts w:ascii="Calibri" w:hAnsi="Calibri" w:cs="Calibri"/>
                <w:sz w:val="22"/>
                <w:szCs w:val="22"/>
                <w:lang w:val="bg"/>
              </w:rPr>
              <w:t>а пазари с висок потенциал за растеж, като Япония, Южна Корея, Канада и Мексико. Допустимите сектори включват млечни продукти, зехтин и вина.</w:t>
            </w:r>
          </w:p>
          <w:p w14:paraId="30997790" w14:textId="641AD398" w:rsidR="00ED7CD4" w:rsidRPr="002D240F" w:rsidRDefault="002D240F" w:rsidP="00305C15">
            <w:pPr>
              <w:spacing w:after="120" w:line="240" w:lineRule="auto"/>
              <w:jc w:val="both"/>
              <w:rPr>
                <w:rFonts w:cs="Calibri"/>
                <w:lang w:val="bg-BG"/>
              </w:rPr>
            </w:pPr>
            <w:hyperlink r:id="rId16" w:history="1">
              <w:r w:rsidR="00A83782" w:rsidRPr="002D240F">
                <w:rPr>
                  <w:rStyle w:val="Hipervnculo"/>
                  <w:rFonts w:cs="Calibri"/>
                  <w:lang w:val="bg"/>
                </w:rPr>
                <w:t>ПРИЛОЖЕНИЕ I Работна програма за 2021</w:t>
              </w:r>
            </w:hyperlink>
            <w:r w:rsidR="00A83782" w:rsidRPr="002D240F">
              <w:rPr>
                <w:rFonts w:cs="Calibri"/>
                <w:lang w:val="bg"/>
              </w:rPr>
              <w:t xml:space="preserve"> г. в рамките на Регламент (ЕС) No 1144/2014 на Европейския парламент и на Съвета</w:t>
            </w:r>
            <w:r w:rsidR="00FC061F" w:rsidRPr="002D240F">
              <w:rPr>
                <w:rFonts w:cs="Calibri"/>
                <w:lang w:val="bg"/>
              </w:rPr>
              <w:t xml:space="preserve"> на Европа</w:t>
            </w:r>
            <w:r w:rsidR="00A83782" w:rsidRPr="002D240F">
              <w:rPr>
                <w:rFonts w:cs="Calibri"/>
                <w:lang w:val="bg"/>
              </w:rPr>
              <w:t xml:space="preserve"> от 22 октомври 2014 г. относно мерките за предоставяне и насърчаване на информация относно селскостопанските продукти, прилагани на вътрешния пазар и в трети държави</w:t>
            </w:r>
            <w:r w:rsidR="000269F1" w:rsidRPr="002D240F">
              <w:rPr>
                <w:rFonts w:cs="Calibri"/>
                <w:lang w:val="bg"/>
              </w:rPr>
              <w:t>.</w:t>
            </w:r>
          </w:p>
          <w:p w14:paraId="609F8073" w14:textId="0F685D81" w:rsidR="00090C57" w:rsidRPr="002D240F" w:rsidRDefault="009C4BD2"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 xml:space="preserve">Процедурата за избор и оценка на подадените заявления е само на равнище комисия и е представена </w:t>
            </w:r>
            <w:hyperlink r:id="rId17" w:history="1">
              <w:r w:rsidR="00BB69A6" w:rsidRPr="002D240F">
                <w:rPr>
                  <w:rStyle w:val="Hipervnculo"/>
                  <w:rFonts w:cs="Calibri"/>
                  <w:lang w:val="bg" w:eastAsia="bg-BG"/>
                </w:rPr>
                <w:t>тук</w:t>
              </w:r>
            </w:hyperlink>
            <w:r w:rsidR="00BB69A6" w:rsidRPr="002D240F">
              <w:rPr>
                <w:rFonts w:cs="Calibri"/>
                <w:lang w:val="bg" w:eastAsia="bg-BG"/>
              </w:rPr>
              <w:t>.</w:t>
            </w:r>
          </w:p>
          <w:p w14:paraId="23FDA3CB" w14:textId="69948222" w:rsidR="00821F50" w:rsidRPr="002D240F" w:rsidRDefault="00DC6B42" w:rsidP="00305C15">
            <w:pPr>
              <w:shd w:val="clear" w:color="auto" w:fill="FFFFFF"/>
              <w:spacing w:after="120" w:line="240" w:lineRule="auto"/>
              <w:jc w:val="both"/>
              <w:rPr>
                <w:rFonts w:cs="Calibri"/>
                <w:lang w:val="bg-BG"/>
              </w:rPr>
            </w:pPr>
            <w:r w:rsidRPr="002D240F">
              <w:rPr>
                <w:rFonts w:eastAsia="Times New Roman" w:cs="Calibri"/>
                <w:lang w:val="bg-BG" w:eastAsia="bg-BG"/>
              </w:rPr>
              <w:lastRenderedPageBreak/>
              <w:t xml:space="preserve"> </w:t>
            </w:r>
          </w:p>
          <w:p w14:paraId="54815C97" w14:textId="2930275E" w:rsidR="00710835" w:rsidRPr="002D240F" w:rsidRDefault="00D20BF3" w:rsidP="00305C15">
            <w:pPr>
              <w:pStyle w:val="Ttulo3"/>
              <w:numPr>
                <w:ilvl w:val="2"/>
                <w:numId w:val="5"/>
              </w:numPr>
              <w:jc w:val="both"/>
              <w:rPr>
                <w:rFonts w:ascii="Calibri" w:hAnsi="Calibri" w:cs="Calibri"/>
                <w:sz w:val="22"/>
                <w:szCs w:val="22"/>
                <w:lang w:val="bg-BG"/>
              </w:rPr>
            </w:pPr>
            <w:bookmarkStart w:id="3" w:name="_Toc92359751"/>
            <w:r w:rsidRPr="002D240F">
              <w:rPr>
                <w:rFonts w:ascii="Calibri" w:hAnsi="Calibri" w:cs="Calibri"/>
                <w:sz w:val="22"/>
                <w:szCs w:val="22"/>
                <w:lang w:val="bg"/>
              </w:rPr>
              <w:t>Поддръжка за износители</w:t>
            </w:r>
            <w:bookmarkEnd w:id="3"/>
          </w:p>
          <w:p w14:paraId="0F35BFA3" w14:textId="5B59B188" w:rsidR="009F1428" w:rsidRPr="002D240F" w:rsidRDefault="00F83219" w:rsidP="00305C15">
            <w:pPr>
              <w:spacing w:after="120" w:line="240" w:lineRule="auto"/>
              <w:ind w:left="142"/>
              <w:jc w:val="both"/>
              <w:rPr>
                <w:rFonts w:cs="Calibri"/>
                <w:lang w:val="bg-BG"/>
              </w:rPr>
            </w:pPr>
            <w:r w:rsidRPr="002D240F">
              <w:rPr>
                <w:rFonts w:cs="Calibri"/>
                <w:lang w:val="bg"/>
              </w:rPr>
              <w:t xml:space="preserve">ЕС насърчава интернационализацията на селскостопанския бизнес, чиято цел е подобряване на конкурентоспособността на земеделските стопани, създаване на работни места, както и получаване на стабилни доходи в селските райони. Във връзка с това бяха въведени механизми, които да помогнат на селскостопанския сектор да се възползва от разширяващия се и все по-динамичен световен пазар на селскостопански храни. За </w:t>
            </w:r>
            <w:r w:rsidR="008138C4" w:rsidRPr="002D240F">
              <w:rPr>
                <w:rFonts w:cs="Calibri"/>
                <w:lang w:val="bg"/>
              </w:rPr>
              <w:t xml:space="preserve">допълнителна  </w:t>
            </w:r>
            <w:r w:rsidR="00801E71" w:rsidRPr="002D240F">
              <w:rPr>
                <w:rFonts w:cs="Calibri"/>
                <w:lang w:val="bg"/>
              </w:rPr>
              <w:t xml:space="preserve">информация, моля кликнете </w:t>
            </w:r>
            <w:hyperlink r:id="rId18" w:history="1">
              <w:r w:rsidR="00801E71" w:rsidRPr="002D240F">
                <w:rPr>
                  <w:rStyle w:val="Hipervnculo"/>
                  <w:rFonts w:cs="Calibri"/>
                  <w:lang w:val="bg"/>
                </w:rPr>
                <w:t>тук</w:t>
              </w:r>
            </w:hyperlink>
            <w:r w:rsidR="00801E71" w:rsidRPr="002D240F">
              <w:rPr>
                <w:rFonts w:cs="Calibri"/>
                <w:lang w:val="bg"/>
              </w:rPr>
              <w:t>.</w:t>
            </w:r>
          </w:p>
          <w:p w14:paraId="38EF40F8" w14:textId="77777777" w:rsidR="005602E1" w:rsidRPr="002D240F" w:rsidRDefault="005602E1" w:rsidP="00305C15">
            <w:pPr>
              <w:spacing w:after="120" w:line="240" w:lineRule="auto"/>
              <w:ind w:left="142"/>
              <w:jc w:val="both"/>
              <w:rPr>
                <w:rFonts w:cs="Calibri"/>
                <w:lang w:val="bg-BG"/>
              </w:rPr>
            </w:pPr>
          </w:p>
          <w:p w14:paraId="53F221BE" w14:textId="0C74683F" w:rsidR="005602E1" w:rsidRPr="002D240F" w:rsidRDefault="005602E1" w:rsidP="00305C15">
            <w:pPr>
              <w:pStyle w:val="Ttulo3"/>
              <w:numPr>
                <w:ilvl w:val="2"/>
                <w:numId w:val="28"/>
              </w:numPr>
              <w:jc w:val="both"/>
              <w:rPr>
                <w:rFonts w:ascii="Calibri" w:hAnsi="Calibri" w:cs="Calibri"/>
                <w:sz w:val="22"/>
                <w:szCs w:val="22"/>
                <w:lang w:val="bg-BG"/>
              </w:rPr>
            </w:pPr>
            <w:bookmarkStart w:id="4" w:name="_Toc92359752"/>
            <w:r w:rsidRPr="002D240F">
              <w:rPr>
                <w:rFonts w:ascii="Calibri" w:hAnsi="Calibri" w:cs="Calibri"/>
                <w:sz w:val="22"/>
                <w:szCs w:val="22"/>
                <w:lang w:val="bg"/>
              </w:rPr>
              <w:t xml:space="preserve">Мерки за подпомагане на селскостопанските пазари. </w:t>
            </w:r>
            <w:commentRangeStart w:id="5"/>
            <w:commentRangeEnd w:id="5"/>
            <w:r w:rsidRPr="002D240F">
              <w:rPr>
                <w:rFonts w:ascii="Calibri" w:hAnsi="Calibri" w:cs="Calibri"/>
                <w:sz w:val="22"/>
                <w:szCs w:val="22"/>
                <w:lang w:val="bg"/>
              </w:rPr>
              <w:commentReference w:id="5"/>
            </w:r>
            <w:bookmarkEnd w:id="4"/>
          </w:p>
          <w:p w14:paraId="0B055017" w14:textId="095C6636" w:rsidR="005602E1" w:rsidRPr="002D240F" w:rsidRDefault="005602E1" w:rsidP="00305C15">
            <w:pPr>
              <w:numPr>
                <w:ilvl w:val="3"/>
                <w:numId w:val="28"/>
              </w:numPr>
              <w:spacing w:after="120" w:line="240" w:lineRule="auto"/>
              <w:jc w:val="both"/>
              <w:rPr>
                <w:rFonts w:cs="Calibri"/>
                <w:lang w:val="bg-BG"/>
              </w:rPr>
            </w:pPr>
            <w:r w:rsidRPr="002D240F">
              <w:rPr>
                <w:rFonts w:cs="Calibri"/>
                <w:lang w:val="bg"/>
              </w:rPr>
              <w:t>Въве</w:t>
            </w:r>
            <w:r w:rsidR="00BC3A37" w:rsidRPr="002D240F">
              <w:rPr>
                <w:rFonts w:cs="Calibri"/>
                <w:lang w:val="bg"/>
              </w:rPr>
              <w:t>дение</w:t>
            </w:r>
          </w:p>
          <w:p w14:paraId="65DE4291" w14:textId="47500E0B" w:rsidR="005602E1" w:rsidRPr="002D240F" w:rsidRDefault="005602E1" w:rsidP="00305C15">
            <w:pPr>
              <w:spacing w:after="120" w:line="240" w:lineRule="auto"/>
              <w:ind w:left="142"/>
              <w:jc w:val="both"/>
              <w:rPr>
                <w:rFonts w:cs="Calibri"/>
                <w:lang w:val="bg-BG"/>
              </w:rPr>
            </w:pPr>
            <w:r w:rsidRPr="002D240F">
              <w:rPr>
                <w:rFonts w:cs="Calibri"/>
                <w:lang w:val="bg"/>
              </w:rPr>
              <w:t xml:space="preserve">Търговията в Рамките на Общността със селскостопански продукти е </w:t>
            </w:r>
            <w:r w:rsidR="00BC3A37" w:rsidRPr="002D240F">
              <w:rPr>
                <w:rFonts w:cs="Calibri"/>
                <w:lang w:val="bg"/>
              </w:rPr>
              <w:t>свободна и</w:t>
            </w:r>
            <w:r w:rsidRPr="002D240F">
              <w:rPr>
                <w:rFonts w:cs="Calibri"/>
                <w:lang w:val="bg"/>
              </w:rPr>
              <w:t xml:space="preserve"> без ограничения. По отношение на международната търговия с трети страни има някои ограничения, които по принцип се прилагат за големите износители, </w:t>
            </w:r>
            <w:r w:rsidR="00F6577C" w:rsidRPr="002D240F">
              <w:rPr>
                <w:rFonts w:cs="Calibri"/>
                <w:lang w:val="bg"/>
              </w:rPr>
              <w:t>докато този</w:t>
            </w:r>
            <w:r w:rsidRPr="002D240F">
              <w:rPr>
                <w:rFonts w:cs="Calibri"/>
                <w:lang w:val="bg"/>
              </w:rPr>
              <w:t xml:space="preserve"> проект като цяло е насочен към млади земеделски стопани, които произвеждат малки обеми продукция.</w:t>
            </w:r>
          </w:p>
          <w:p w14:paraId="1AACA811" w14:textId="77777777" w:rsidR="005602E1" w:rsidRPr="002D240F" w:rsidRDefault="005602E1" w:rsidP="00305C15">
            <w:pPr>
              <w:spacing w:after="120" w:line="240" w:lineRule="auto"/>
              <w:ind w:left="142"/>
              <w:jc w:val="both"/>
              <w:rPr>
                <w:rFonts w:cs="Calibri"/>
                <w:lang w:val="bg"/>
              </w:rPr>
            </w:pPr>
            <w:r w:rsidRPr="002D240F">
              <w:rPr>
                <w:rFonts w:cs="Calibri"/>
                <w:lang w:val="bg"/>
              </w:rPr>
              <w:t>Световната търговска организация (СТО) е създадена през 1995 г. и е крайъгълен камък на основана на правила многостранна търговска система. СТО е организация, ръководена от 164 членове в момента. Основните дейности на СТО са:</w:t>
            </w:r>
          </w:p>
          <w:p w14:paraId="6CB86386" w14:textId="77777777" w:rsidR="005602E1" w:rsidRPr="002D240F" w:rsidRDefault="005602E1" w:rsidP="00305C15">
            <w:pPr>
              <w:spacing w:after="120" w:line="240" w:lineRule="auto"/>
              <w:ind w:left="708"/>
              <w:jc w:val="both"/>
              <w:rPr>
                <w:rFonts w:cs="Calibri"/>
                <w:lang w:val="bg"/>
              </w:rPr>
            </w:pPr>
            <w:r w:rsidRPr="002D240F">
              <w:rPr>
                <w:rFonts w:cs="Calibri"/>
                <w:lang w:val="bg"/>
              </w:rPr>
              <w:t>• многостранни преговори за постепенна либерализация на пазарите;</w:t>
            </w:r>
          </w:p>
          <w:p w14:paraId="78CEF33A" w14:textId="77777777" w:rsidR="005602E1" w:rsidRPr="002D240F" w:rsidRDefault="005602E1" w:rsidP="00305C15">
            <w:pPr>
              <w:spacing w:after="120" w:line="240" w:lineRule="auto"/>
              <w:ind w:left="708"/>
              <w:jc w:val="both"/>
              <w:rPr>
                <w:rFonts w:cs="Calibri"/>
                <w:lang w:val="bg"/>
              </w:rPr>
            </w:pPr>
            <w:r w:rsidRPr="002D240F">
              <w:rPr>
                <w:rFonts w:cs="Calibri"/>
                <w:lang w:val="bg"/>
              </w:rPr>
              <w:t>• определяне на основните правни норми за търговия под формата на споразумения;</w:t>
            </w:r>
          </w:p>
          <w:p w14:paraId="3655F979" w14:textId="77777777" w:rsidR="005602E1" w:rsidRPr="002D240F" w:rsidRDefault="005602E1" w:rsidP="00305C15">
            <w:pPr>
              <w:spacing w:after="120" w:line="240" w:lineRule="auto"/>
              <w:ind w:left="708"/>
              <w:jc w:val="both"/>
              <w:rPr>
                <w:rFonts w:cs="Calibri"/>
                <w:lang w:val="bg"/>
              </w:rPr>
            </w:pPr>
            <w:r w:rsidRPr="002D240F">
              <w:rPr>
                <w:rFonts w:cs="Calibri"/>
                <w:lang w:val="bg"/>
              </w:rPr>
              <w:t>• разрешаване на търговски спорове между държавите;</w:t>
            </w:r>
          </w:p>
          <w:p w14:paraId="1B50651C" w14:textId="77777777" w:rsidR="005602E1" w:rsidRPr="002D240F" w:rsidRDefault="005602E1" w:rsidP="00305C15">
            <w:pPr>
              <w:spacing w:after="120" w:line="240" w:lineRule="auto"/>
              <w:ind w:left="708"/>
              <w:jc w:val="both"/>
              <w:rPr>
                <w:rFonts w:cs="Calibri"/>
                <w:lang w:val="bg"/>
              </w:rPr>
            </w:pPr>
            <w:r w:rsidRPr="002D240F">
              <w:rPr>
                <w:rFonts w:cs="Calibri"/>
                <w:lang w:val="bg"/>
              </w:rPr>
              <w:t>• наблюдение на търговските политики на членовете.</w:t>
            </w:r>
          </w:p>
          <w:p w14:paraId="7643A7F4" w14:textId="77777777" w:rsidR="005602E1" w:rsidRPr="002D240F" w:rsidRDefault="005602E1" w:rsidP="00305C15">
            <w:pPr>
              <w:spacing w:after="120" w:line="240" w:lineRule="auto"/>
              <w:ind w:left="142"/>
              <w:jc w:val="both"/>
              <w:rPr>
                <w:rFonts w:cs="Calibri"/>
                <w:lang w:val="bg"/>
              </w:rPr>
            </w:pPr>
            <w:r w:rsidRPr="002D240F">
              <w:rPr>
                <w:rFonts w:cs="Calibri"/>
                <w:lang w:val="bg"/>
              </w:rPr>
              <w:t>Европейският съюз е член на СТО и предвид факта, че той е най-големият търговски блок в света, играе ключова роля в организацията. Европейската комисия представлява ЕС, който преговаря от името на всички държави членки. ЕС активно подкрепя работата на СТО при изготвянето на многостранни правила и либерализацията на търговията, като се стреми:</w:t>
            </w:r>
          </w:p>
          <w:p w14:paraId="1C8F321B" w14:textId="77777777" w:rsidR="005602E1" w:rsidRPr="002D240F" w:rsidRDefault="005602E1" w:rsidP="00305C15">
            <w:pPr>
              <w:spacing w:after="120" w:line="240" w:lineRule="auto"/>
              <w:ind w:left="708"/>
              <w:jc w:val="both"/>
              <w:rPr>
                <w:rFonts w:cs="Calibri"/>
                <w:lang w:val="bg"/>
              </w:rPr>
            </w:pPr>
            <w:r w:rsidRPr="002D240F">
              <w:rPr>
                <w:rFonts w:cs="Calibri"/>
                <w:lang w:val="bg"/>
              </w:rPr>
              <w:t>• поддържат отворени пазари и осигуряват нови пазари за европейските предприятия;</w:t>
            </w:r>
          </w:p>
          <w:p w14:paraId="3C81F007" w14:textId="77777777" w:rsidR="005602E1" w:rsidRPr="002D240F" w:rsidRDefault="005602E1" w:rsidP="00305C15">
            <w:pPr>
              <w:spacing w:after="120" w:line="240" w:lineRule="auto"/>
              <w:ind w:left="708"/>
              <w:jc w:val="both"/>
              <w:rPr>
                <w:rFonts w:cs="Calibri"/>
                <w:lang w:val="bg"/>
              </w:rPr>
            </w:pPr>
            <w:r w:rsidRPr="002D240F">
              <w:rPr>
                <w:rFonts w:cs="Calibri"/>
                <w:lang w:val="bg"/>
              </w:rPr>
              <w:t>• да засилят многостранните правила и да гарантират спазването на другите;</w:t>
            </w:r>
          </w:p>
          <w:p w14:paraId="5FE21B8D" w14:textId="77777777" w:rsidR="005602E1" w:rsidRPr="002D240F" w:rsidRDefault="005602E1" w:rsidP="00305C15">
            <w:pPr>
              <w:spacing w:after="120" w:line="240" w:lineRule="auto"/>
              <w:ind w:left="708"/>
              <w:jc w:val="both"/>
              <w:rPr>
                <w:rFonts w:cs="Calibri"/>
                <w:lang w:val="bg"/>
              </w:rPr>
            </w:pPr>
            <w:r w:rsidRPr="002D240F">
              <w:rPr>
                <w:rFonts w:cs="Calibri"/>
                <w:lang w:val="bg"/>
              </w:rPr>
              <w:t>• насърчават устойчивото развитие в търговията.</w:t>
            </w:r>
          </w:p>
          <w:p w14:paraId="0047D65B" w14:textId="45522248" w:rsidR="005602E1" w:rsidRPr="002D240F" w:rsidRDefault="005602E1" w:rsidP="00305C15">
            <w:pPr>
              <w:spacing w:after="120" w:line="240" w:lineRule="auto"/>
              <w:ind w:left="142"/>
              <w:jc w:val="both"/>
              <w:rPr>
                <w:rFonts w:cs="Calibri"/>
                <w:lang w:val="bg"/>
              </w:rPr>
            </w:pPr>
            <w:r w:rsidRPr="002D240F">
              <w:rPr>
                <w:rFonts w:cs="Calibri"/>
                <w:lang w:val="bg"/>
              </w:rPr>
              <w:t>Споразумението на СТО за селското стопанство има за цел да създаде "справедлива и пазарно ориентирана система за търговия със селскостопански продукти". Т</w:t>
            </w:r>
            <w:r w:rsidR="000A55AE" w:rsidRPr="002D240F">
              <w:rPr>
                <w:rFonts w:cs="Calibri"/>
                <w:lang w:val="bg"/>
              </w:rPr>
              <w:t>о</w:t>
            </w:r>
            <w:r w:rsidRPr="002D240F">
              <w:rPr>
                <w:rFonts w:cs="Calibri"/>
                <w:lang w:val="bg"/>
              </w:rPr>
              <w:t xml:space="preserve"> определя правила, които се прилагат за всички членове на СТО и има за цел да създаде условия за съществено постепенно намаляване на подкрепата и защитата за селското стопанство. </w:t>
            </w:r>
            <w:r w:rsidRPr="002D240F">
              <w:rPr>
                <w:rFonts w:cs="Calibri"/>
                <w:lang w:val="bg"/>
              </w:rPr>
              <w:lastRenderedPageBreak/>
              <w:t>Споразумението беше част от резултатите, постигнати по време на Уругвайския кръг, и направи решителна стъпка към укрепване на пазарната ориентация в селското стопанство в световен мащаб.</w:t>
            </w:r>
          </w:p>
          <w:p w14:paraId="5EF70446" w14:textId="77777777" w:rsidR="005602E1" w:rsidRPr="002D240F" w:rsidRDefault="005602E1" w:rsidP="00305C15">
            <w:pPr>
              <w:spacing w:after="120" w:line="240" w:lineRule="auto"/>
              <w:ind w:left="142"/>
              <w:jc w:val="both"/>
              <w:rPr>
                <w:rFonts w:cs="Calibri"/>
                <w:lang w:val="en-US"/>
              </w:rPr>
            </w:pPr>
            <w:r w:rsidRPr="002D240F">
              <w:rPr>
                <w:rFonts w:cs="Calibri"/>
                <w:lang w:val="bg"/>
              </w:rPr>
              <w:t>Двустранните споразумения, групирани в 6 раздела. Това са:</w:t>
            </w:r>
          </w:p>
          <w:p w14:paraId="456BD982"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държавите от Африка, Карибите и Тихоокеанския басейн (АКТБ).</w:t>
            </w:r>
          </w:p>
          <w:p w14:paraId="55841D8D"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Америка.</w:t>
            </w:r>
          </w:p>
          <w:p w14:paraId="486E9572"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Азия и Австралазия.</w:t>
            </w:r>
          </w:p>
          <w:p w14:paraId="55680D7B"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Страните, обхванати от разширяването.</w:t>
            </w:r>
          </w:p>
          <w:p w14:paraId="13DA0413"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Близкия изток – страните от Персийския залив.</w:t>
            </w:r>
          </w:p>
          <w:p w14:paraId="2DDAFEF5" w14:textId="77777777" w:rsidR="005602E1" w:rsidRPr="002D240F" w:rsidRDefault="005602E1" w:rsidP="00305C15">
            <w:pPr>
              <w:numPr>
                <w:ilvl w:val="0"/>
                <w:numId w:val="19"/>
              </w:numPr>
              <w:spacing w:after="120" w:line="240" w:lineRule="auto"/>
              <w:jc w:val="both"/>
              <w:rPr>
                <w:rFonts w:cs="Calibri"/>
                <w:lang w:val="en-US"/>
              </w:rPr>
            </w:pPr>
            <w:r w:rsidRPr="002D240F">
              <w:rPr>
                <w:rFonts w:cs="Calibri"/>
                <w:lang w:val="bg"/>
              </w:rPr>
              <w:t>Европейската асоциация за свободна търговия и Европейската политика за съседство (ЕАСТ &amp; ЕПС).</w:t>
            </w:r>
          </w:p>
          <w:p w14:paraId="4573BD5E" w14:textId="77777777" w:rsidR="005602E1" w:rsidRPr="002D240F" w:rsidRDefault="005602E1" w:rsidP="00305C15">
            <w:pPr>
              <w:spacing w:after="120" w:line="240" w:lineRule="auto"/>
              <w:jc w:val="both"/>
              <w:rPr>
                <w:rFonts w:cs="Calibri"/>
                <w:lang w:val="en-US"/>
              </w:rPr>
            </w:pPr>
          </w:p>
          <w:p w14:paraId="04349A1E" w14:textId="7411F6CE" w:rsidR="005602E1" w:rsidRPr="002D240F" w:rsidRDefault="005602E1" w:rsidP="00305C15">
            <w:pPr>
              <w:numPr>
                <w:ilvl w:val="3"/>
                <w:numId w:val="28"/>
              </w:numPr>
              <w:spacing w:after="120" w:line="240" w:lineRule="auto"/>
              <w:jc w:val="both"/>
              <w:rPr>
                <w:rFonts w:cs="Calibri"/>
                <w:lang w:val="bg-BG"/>
              </w:rPr>
            </w:pPr>
            <w:commentRangeStart w:id="6"/>
            <w:r w:rsidRPr="002D240F">
              <w:rPr>
                <w:rFonts w:cs="Calibri"/>
                <w:lang w:val="bg"/>
              </w:rPr>
              <w:t>Обща информация</w:t>
            </w:r>
            <w:commentRangeEnd w:id="6"/>
            <w:r w:rsidRPr="002D240F">
              <w:rPr>
                <w:rFonts w:cs="Calibri"/>
                <w:lang w:val="bg"/>
              </w:rPr>
              <w:commentReference w:id="6"/>
            </w:r>
          </w:p>
          <w:p w14:paraId="710911A4" w14:textId="77777777"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 xml:space="preserve">Общата организация на пазара на селскостопански продукти в Европейския съюз е част от Общата селскостопанска политика, която гарантира стабилност и предвидимост на пазарите на селскостопански продукти, устойчиви изкупни цени, които гарантират стабилни доходи за земеделските стопани и са предпоставка за постоянното предлагане на качествени храни за потребителите. </w:t>
            </w:r>
          </w:p>
          <w:p w14:paraId="03F6A8E2" w14:textId="77777777"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Политиката на ЕС относно мерките за информиране и насърчаване на селскостопанските продукти има за цел да помогне на селскостопанските организации да навлязат или консолидират позициите си на атрактивни за тях пазари. Промоционалните програми предвиждат дейности, които повишават осведомеността на потребителите за усилията, положени от европейските земеделски стопани за осигуряване на качествени и безопасни продукти.</w:t>
            </w:r>
          </w:p>
          <w:p w14:paraId="28B99396" w14:textId="73CF3F2A"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Промоционалната политика има ясни приоритети, които се определят ежегодно – в работна програма. Списъкът на отговарящите на условията продукти включва всички селскостопански продукти (с изключение на тютюна) и преработените продукти като бира, макаронени изделия, сладка царевица, памук и др. При определени изисквания може да се популяризира вино, спиртни напитки със защитено географско наименование</w:t>
            </w:r>
            <w:r w:rsidR="006F6AAA" w:rsidRPr="002D240F">
              <w:rPr>
                <w:rFonts w:cs="Calibri"/>
                <w:lang w:val="bg" w:eastAsia="bg-BG"/>
              </w:rPr>
              <w:t>, както</w:t>
            </w:r>
            <w:r w:rsidRPr="002D240F">
              <w:rPr>
                <w:rFonts w:cs="Calibri"/>
                <w:lang w:val="bg" w:eastAsia="bg-BG"/>
              </w:rPr>
              <w:t xml:space="preserve"> и риба и рибни продукти. Европейските схеми за качество, включително националните схеми за качество, биологичните продукти и продуктите от отдалечени райони, са основен приоритет на политиката. В същата посока се признава стратегическото значение на показването на търговски марки и произхода на европейските продукти.</w:t>
            </w:r>
          </w:p>
          <w:p w14:paraId="725F9EC8" w14:textId="77777777" w:rsidR="005602E1" w:rsidRPr="002D240F" w:rsidRDefault="005602E1" w:rsidP="00305C15">
            <w:pPr>
              <w:keepNext/>
              <w:shd w:val="clear" w:color="auto" w:fill="FFFFFF"/>
              <w:spacing w:after="120" w:line="240" w:lineRule="auto"/>
              <w:jc w:val="both"/>
              <w:outlineLvl w:val="3"/>
              <w:rPr>
                <w:rFonts w:eastAsia="Times New Roman" w:cs="Calibri"/>
                <w:lang w:val="bg-BG" w:eastAsia="bg-BG"/>
              </w:rPr>
            </w:pPr>
            <w:r w:rsidRPr="002D240F">
              <w:rPr>
                <w:rFonts w:cs="Calibri"/>
                <w:lang w:val="bg"/>
              </w:rPr>
              <w:t>Общата цел на политиката за насърчаване на селскостопанските продукти е да се повиши конкурентоспособността на селскостопанския сектор на Съюза.</w:t>
            </w:r>
          </w:p>
          <w:p w14:paraId="595B4ED3" w14:textId="77777777" w:rsidR="005602E1" w:rsidRPr="002D240F" w:rsidRDefault="005602E1" w:rsidP="00305C15">
            <w:pPr>
              <w:shd w:val="clear" w:color="auto" w:fill="FFFFFF"/>
              <w:spacing w:after="120" w:line="240" w:lineRule="auto"/>
              <w:jc w:val="both"/>
              <w:rPr>
                <w:rFonts w:eastAsia="Times New Roman" w:cs="Calibri"/>
                <w:lang w:val="bg" w:eastAsia="en-GB"/>
              </w:rPr>
            </w:pPr>
            <w:r w:rsidRPr="002D240F">
              <w:rPr>
                <w:rFonts w:cs="Calibri"/>
                <w:lang w:val="bg" w:eastAsia="en-GB"/>
              </w:rPr>
              <w:lastRenderedPageBreak/>
              <w:t>Политиката на ЕС в областта на предоставянето на информация и мерките за насърчаване на селскостопанските продукти има за цел да спомогне за отварянето на нови пазари. Под мотото "Насладете се, това е от Европа", той има за цел да помогне на селскостопанските организации да популяризират агрохранителни продукти на ЕС на международните пазари, както и да повиши осведомеността сред потребителите за усилията, положени от европейските земеделски стопани за осигуряване на качествени продукти.</w:t>
            </w:r>
          </w:p>
          <w:p w14:paraId="1EEBCB59" w14:textId="14CF43C3"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ЕС помага на специалистите в сектора да финансират информационни и промоционални кампании. Като обясняват на потребителите и вносителите стандартите и качеството на агрохранителни</w:t>
            </w:r>
            <w:r w:rsidR="00A07D85" w:rsidRPr="002D240F">
              <w:rPr>
                <w:rFonts w:cs="Calibri"/>
                <w:lang w:val="bg" w:eastAsia="bg-BG"/>
              </w:rPr>
              <w:t>те</w:t>
            </w:r>
            <w:r w:rsidRPr="002D240F">
              <w:rPr>
                <w:rFonts w:cs="Calibri"/>
                <w:lang w:val="bg" w:eastAsia="bg-BG"/>
              </w:rPr>
              <w:t xml:space="preserve"> продукти на ЕС, програмите на ЕС за насърчаване могат да помогнат на европейските производители във </w:t>
            </w:r>
            <w:r w:rsidR="00336ADF" w:rsidRPr="002D240F">
              <w:rPr>
                <w:rFonts w:cs="Calibri"/>
                <w:lang w:val="bg" w:eastAsia="bg-BG"/>
              </w:rPr>
              <w:t xml:space="preserve">един </w:t>
            </w:r>
            <w:r w:rsidRPr="002D240F">
              <w:rPr>
                <w:rFonts w:cs="Calibri"/>
                <w:lang w:val="bg" w:eastAsia="bg-BG"/>
              </w:rPr>
              <w:t>все по-конкурентоспособен свят.</w:t>
            </w:r>
          </w:p>
          <w:p w14:paraId="56E4CEE0" w14:textId="084AFBBE"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Програма</w:t>
            </w:r>
            <w:r w:rsidR="00336ADF" w:rsidRPr="002D240F">
              <w:rPr>
                <w:rFonts w:cs="Calibri"/>
                <w:lang w:val="bg" w:eastAsia="bg-BG"/>
              </w:rPr>
              <w:t>та</w:t>
            </w:r>
            <w:r w:rsidRPr="002D240F">
              <w:rPr>
                <w:rFonts w:cs="Calibri"/>
                <w:lang w:val="bg" w:eastAsia="bg-BG"/>
              </w:rPr>
              <w:t xml:space="preserve"> за популяризиране </w:t>
            </w:r>
            <w:r w:rsidR="00336ADF" w:rsidRPr="002D240F">
              <w:rPr>
                <w:rFonts w:cs="Calibri"/>
                <w:lang w:val="bg" w:eastAsia="bg-BG"/>
              </w:rPr>
              <w:t>представлява</w:t>
            </w:r>
            <w:r w:rsidRPr="002D240F">
              <w:rPr>
                <w:rFonts w:cs="Calibri"/>
                <w:lang w:val="bg" w:eastAsia="bg-BG"/>
              </w:rPr>
              <w:t xml:space="preserve"> съгласуван набор от операции, които могат да включват рекламни кампании в пресата, по телевизията, по радиото или в интернет; промоции; кампании за връзки с обществеността; участие в изложби и панаири, и набор от други дейности. Тя може да бъде B2B кампания или B2C кампания. Т</w:t>
            </w:r>
            <w:r w:rsidR="00EB7CB0" w:rsidRPr="002D240F">
              <w:rPr>
                <w:rFonts w:cs="Calibri"/>
                <w:lang w:val="bg" w:eastAsia="bg-BG"/>
              </w:rPr>
              <w:t>я</w:t>
            </w:r>
            <w:r w:rsidRPr="002D240F">
              <w:rPr>
                <w:rFonts w:cs="Calibri"/>
                <w:lang w:val="bg" w:eastAsia="bg-BG"/>
              </w:rPr>
              <w:t xml:space="preserve"> се изпълнява за период от най-малко една година, но не повече от три години.</w:t>
            </w:r>
          </w:p>
          <w:p w14:paraId="22E15466" w14:textId="4C0D3DED"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Програма</w:t>
            </w:r>
            <w:r w:rsidR="00EB7CB0" w:rsidRPr="002D240F">
              <w:rPr>
                <w:rFonts w:cs="Calibri"/>
                <w:lang w:val="bg" w:eastAsia="bg-BG"/>
              </w:rPr>
              <w:t>та</w:t>
            </w:r>
            <w:r w:rsidRPr="002D240F">
              <w:rPr>
                <w:rFonts w:cs="Calibri"/>
                <w:lang w:val="bg" w:eastAsia="bg-BG"/>
              </w:rPr>
              <w:t xml:space="preserve"> за насърчаване има за цел</w:t>
            </w:r>
            <w:r w:rsidR="005A6A7F" w:rsidRPr="002D240F">
              <w:rPr>
                <w:rFonts w:cs="Calibri"/>
                <w:lang w:val="bg" w:eastAsia="bg-BG"/>
              </w:rPr>
              <w:t xml:space="preserve"> да</w:t>
            </w:r>
            <w:r w:rsidRPr="002D240F">
              <w:rPr>
                <w:rFonts w:cs="Calibri"/>
                <w:lang w:val="bg" w:eastAsia="bg-BG"/>
              </w:rPr>
              <w:t>:</w:t>
            </w:r>
          </w:p>
          <w:p w14:paraId="396F8B8C" w14:textId="47DB3258" w:rsidR="005602E1" w:rsidRPr="002D240F" w:rsidRDefault="005602E1" w:rsidP="00305C15">
            <w:pPr>
              <w:numPr>
                <w:ilvl w:val="0"/>
                <w:numId w:val="14"/>
              </w:numPr>
              <w:shd w:val="clear" w:color="auto" w:fill="FFFFFF"/>
              <w:spacing w:after="120" w:line="240" w:lineRule="auto"/>
              <w:jc w:val="both"/>
              <w:rPr>
                <w:rFonts w:eastAsia="Times New Roman" w:cs="Calibri"/>
                <w:lang w:val="bg-BG" w:eastAsia="bg-BG"/>
              </w:rPr>
            </w:pPr>
            <w:r w:rsidRPr="002D240F">
              <w:rPr>
                <w:rFonts w:cs="Calibri"/>
                <w:lang w:val="bg" w:eastAsia="bg-BG"/>
              </w:rPr>
              <w:t>подчерта</w:t>
            </w:r>
            <w:r w:rsidR="005A6A7F" w:rsidRPr="002D240F">
              <w:rPr>
                <w:rFonts w:cs="Calibri"/>
                <w:lang w:val="bg" w:eastAsia="bg-BG"/>
              </w:rPr>
              <w:t>е</w:t>
            </w:r>
            <w:r w:rsidRPr="002D240F">
              <w:rPr>
                <w:rFonts w:cs="Calibri"/>
                <w:lang w:val="bg" w:eastAsia="bg-BG"/>
              </w:rPr>
              <w:t xml:space="preserve"> специфичните особености на селскостопанските производствени методи в Съюза, </w:t>
            </w:r>
            <w:r w:rsidR="00DE4796" w:rsidRPr="002D240F">
              <w:rPr>
                <w:rFonts w:cs="Calibri"/>
                <w:lang w:val="bg" w:eastAsia="bg-BG"/>
              </w:rPr>
              <w:t>о</w:t>
            </w:r>
            <w:r w:rsidRPr="002D240F">
              <w:rPr>
                <w:rFonts w:cs="Calibri"/>
                <w:lang w:val="bg" w:eastAsia="bg-BG"/>
              </w:rPr>
              <w:t>собено по отношение на безопасността на храните, проследимостта, автентичността, етикетирането, хранителните и здравните аспекти, хуманното отношение към животните, зачитането на околната среда и устойчивостта, както и характеристиките на селскостопанските и хранителните продукти, особено по отношение на тяхното качество, вкус, разнообразие или традиции;</w:t>
            </w:r>
          </w:p>
          <w:p w14:paraId="07494012" w14:textId="77777777" w:rsidR="005602E1" w:rsidRPr="002D240F" w:rsidRDefault="005602E1" w:rsidP="00305C15">
            <w:pPr>
              <w:numPr>
                <w:ilvl w:val="0"/>
                <w:numId w:val="14"/>
              </w:numPr>
              <w:shd w:val="clear" w:color="auto" w:fill="FFFFFF"/>
              <w:spacing w:after="120" w:line="240" w:lineRule="auto"/>
              <w:jc w:val="both"/>
              <w:rPr>
                <w:rFonts w:eastAsia="Times New Roman" w:cs="Calibri"/>
                <w:lang w:val="bg-BG" w:eastAsia="bg-BG"/>
              </w:rPr>
            </w:pPr>
            <w:r w:rsidRPr="002D240F">
              <w:rPr>
                <w:rFonts w:cs="Calibri"/>
                <w:lang w:val="bg" w:eastAsia="bg-BG"/>
              </w:rPr>
              <w:t>повишават осведомеността относно автентичността на европейските защитени наименования за произход, защитеното географско указание и гарантираните традиционни специалитети.</w:t>
            </w:r>
          </w:p>
          <w:p w14:paraId="202BAD96" w14:textId="6997D2D8"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 xml:space="preserve">Кампаниите за насърчаване на селскостопанските продукти от ЕС са предназначени да отворят нови пазарни възможности за земеделските стопани от ЕС и по-широката хранителна промишленост, както и да им помогнат да </w:t>
            </w:r>
            <w:r w:rsidR="00A26AE0" w:rsidRPr="002D240F">
              <w:rPr>
                <w:rFonts w:cs="Calibri"/>
                <w:lang w:val="bg" w:eastAsia="bg-BG"/>
              </w:rPr>
              <w:t>разширят</w:t>
            </w:r>
            <w:r w:rsidRPr="002D240F">
              <w:rPr>
                <w:rFonts w:cs="Calibri"/>
                <w:lang w:val="bg" w:eastAsia="bg-BG"/>
              </w:rPr>
              <w:t xml:space="preserve"> съществуващия си бизнес.</w:t>
            </w:r>
          </w:p>
          <w:p w14:paraId="46AF0C10" w14:textId="77777777"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Има два вида действия за популяризиране:</w:t>
            </w:r>
          </w:p>
          <w:p w14:paraId="446EA0F9" w14:textId="5502E8F8" w:rsidR="005602E1" w:rsidRPr="002D240F" w:rsidRDefault="004549C1" w:rsidP="00305C15">
            <w:pPr>
              <w:numPr>
                <w:ilvl w:val="0"/>
                <w:numId w:val="12"/>
              </w:numPr>
              <w:shd w:val="clear" w:color="auto" w:fill="FFFFFF"/>
              <w:spacing w:after="120" w:line="240" w:lineRule="auto"/>
              <w:jc w:val="both"/>
              <w:rPr>
                <w:rFonts w:eastAsia="Times New Roman" w:cs="Calibri"/>
                <w:lang w:val="bg-BG" w:eastAsia="bg-BG"/>
              </w:rPr>
            </w:pPr>
            <w:r w:rsidRPr="002D240F">
              <w:rPr>
                <w:rFonts w:cs="Calibri"/>
                <w:lang w:val="bg" w:eastAsia="bg-BG"/>
              </w:rPr>
              <w:t>дейности</w:t>
            </w:r>
            <w:r w:rsidR="005602E1" w:rsidRPr="002D240F">
              <w:rPr>
                <w:rFonts w:cs="Calibri"/>
                <w:lang w:val="bg" w:eastAsia="bg-BG"/>
              </w:rPr>
              <w:t>, управлявани от европейски търговски или междутърговски асоциации и съфинансирани от ЕС;</w:t>
            </w:r>
          </w:p>
          <w:p w14:paraId="63223E28" w14:textId="13DAB42E" w:rsidR="005602E1" w:rsidRPr="002D240F" w:rsidRDefault="004549C1" w:rsidP="00305C15">
            <w:pPr>
              <w:numPr>
                <w:ilvl w:val="0"/>
                <w:numId w:val="12"/>
              </w:numPr>
              <w:shd w:val="clear" w:color="auto" w:fill="FFFFFF"/>
              <w:spacing w:after="120" w:line="240" w:lineRule="auto"/>
              <w:jc w:val="both"/>
              <w:rPr>
                <w:rFonts w:eastAsia="Times New Roman" w:cs="Calibri"/>
                <w:lang w:val="bg-BG" w:eastAsia="bg-BG"/>
              </w:rPr>
            </w:pPr>
            <w:r w:rsidRPr="002D240F">
              <w:rPr>
                <w:rFonts w:cs="Calibri"/>
                <w:lang w:val="bg" w:eastAsia="bg-BG"/>
              </w:rPr>
              <w:t>дейности</w:t>
            </w:r>
            <w:r w:rsidR="005602E1" w:rsidRPr="002D240F">
              <w:rPr>
                <w:rFonts w:cs="Calibri"/>
                <w:lang w:val="bg" w:eastAsia="bg-BG"/>
              </w:rPr>
              <w:t>, които се ръководят пряко от самия ЕС, като например дипломатически офанзив</w:t>
            </w:r>
            <w:r w:rsidRPr="002D240F">
              <w:rPr>
                <w:rFonts w:cs="Calibri"/>
                <w:lang w:val="bg" w:eastAsia="bg-BG"/>
              </w:rPr>
              <w:t>и</w:t>
            </w:r>
            <w:r w:rsidR="005602E1" w:rsidRPr="002D240F">
              <w:rPr>
                <w:rFonts w:cs="Calibri"/>
                <w:lang w:val="bg" w:eastAsia="bg-BG"/>
              </w:rPr>
              <w:t xml:space="preserve"> от страна на комисаря в държави извън ЕС за развитие на агрохранителна търговия, или участие в панаири и комуникационни кампании.</w:t>
            </w:r>
          </w:p>
          <w:p w14:paraId="33B76C3C" w14:textId="77777777" w:rsidR="005602E1" w:rsidRPr="002D240F" w:rsidRDefault="005602E1" w:rsidP="00305C15">
            <w:pPr>
              <w:shd w:val="clear" w:color="auto" w:fill="FFFFFF"/>
              <w:spacing w:after="120" w:line="240" w:lineRule="auto"/>
              <w:jc w:val="both"/>
              <w:rPr>
                <w:rFonts w:eastAsia="Times New Roman" w:cs="Calibri"/>
                <w:lang w:val="bg-BG" w:eastAsia="bg-BG"/>
              </w:rPr>
            </w:pPr>
            <w:r w:rsidRPr="002D240F">
              <w:rPr>
                <w:rFonts w:cs="Calibri"/>
                <w:lang w:val="bg" w:eastAsia="bg-BG"/>
              </w:rPr>
              <w:t xml:space="preserve">В правилата на политиката за насърчаване се определя как финансирането от ЕС може да се използва за инициативи за информиране и насърчаване както в държавите от ЕС, така и в </w:t>
            </w:r>
            <w:r w:rsidRPr="002D240F">
              <w:rPr>
                <w:rFonts w:cs="Calibri"/>
                <w:lang w:val="bg" w:eastAsia="bg-BG"/>
              </w:rPr>
              <w:lastRenderedPageBreak/>
              <w:t>държавите извън ЕС.</w:t>
            </w:r>
          </w:p>
          <w:p w14:paraId="5D6213F3" w14:textId="2421ACC3" w:rsidR="00517970" w:rsidRPr="002D240F" w:rsidRDefault="00517970" w:rsidP="00305C15">
            <w:pPr>
              <w:pStyle w:val="Ttulo2"/>
              <w:numPr>
                <w:ilvl w:val="1"/>
                <w:numId w:val="28"/>
              </w:numPr>
              <w:jc w:val="both"/>
              <w:rPr>
                <w:rFonts w:ascii="Calibri" w:hAnsi="Calibri" w:cs="Calibri"/>
                <w:sz w:val="22"/>
                <w:szCs w:val="22"/>
                <w:lang w:val="bg-BG"/>
              </w:rPr>
            </w:pPr>
            <w:bookmarkStart w:id="7" w:name="_Toc92359753"/>
            <w:r w:rsidRPr="002D240F">
              <w:rPr>
                <w:rFonts w:ascii="Calibri" w:hAnsi="Calibri" w:cs="Calibri"/>
                <w:sz w:val="22"/>
                <w:szCs w:val="22"/>
                <w:lang w:val="bg"/>
              </w:rPr>
              <w:t>Управление на взаимоотношения с клиенти</w:t>
            </w:r>
            <w:commentRangeStart w:id="8"/>
            <w:commentRangeEnd w:id="8"/>
            <w:r w:rsidR="00CD4911" w:rsidRPr="002D240F">
              <w:rPr>
                <w:rStyle w:val="Refdecomentario"/>
                <w:rFonts w:ascii="Calibri" w:hAnsi="Calibri" w:cs="Calibri"/>
                <w:sz w:val="22"/>
                <w:szCs w:val="22"/>
                <w:lang w:val="bg"/>
              </w:rPr>
              <w:commentReference w:id="8"/>
            </w:r>
            <w:bookmarkEnd w:id="7"/>
          </w:p>
          <w:p w14:paraId="16A43B9A" w14:textId="16C98FCA" w:rsidR="00517970" w:rsidRPr="002D240F" w:rsidRDefault="00C66054" w:rsidP="00305C15">
            <w:pPr>
              <w:pStyle w:val="Ttulo3"/>
              <w:numPr>
                <w:ilvl w:val="2"/>
                <w:numId w:val="29"/>
              </w:numPr>
              <w:jc w:val="both"/>
              <w:rPr>
                <w:rFonts w:ascii="Calibri" w:hAnsi="Calibri" w:cs="Calibri"/>
                <w:sz w:val="22"/>
                <w:szCs w:val="22"/>
                <w:lang w:val="en-GB"/>
              </w:rPr>
            </w:pPr>
            <w:bookmarkStart w:id="9" w:name="_Toc92359754"/>
            <w:r w:rsidRPr="002D240F">
              <w:rPr>
                <w:rFonts w:ascii="Calibri" w:hAnsi="Calibri" w:cs="Calibri"/>
                <w:sz w:val="22"/>
                <w:szCs w:val="22"/>
                <w:lang w:val="bg"/>
              </w:rPr>
              <w:t>Обща информация</w:t>
            </w:r>
            <w:bookmarkEnd w:id="9"/>
          </w:p>
          <w:p w14:paraId="358F531F" w14:textId="3328D5B6" w:rsidR="00517970" w:rsidRPr="002D240F" w:rsidRDefault="00517970" w:rsidP="00305C15">
            <w:pPr>
              <w:numPr>
                <w:ilvl w:val="3"/>
                <w:numId w:val="29"/>
              </w:numPr>
              <w:spacing w:after="120" w:line="240" w:lineRule="auto"/>
              <w:ind w:left="567" w:hanging="425"/>
              <w:jc w:val="both"/>
              <w:rPr>
                <w:rFonts w:cs="Calibri"/>
                <w:lang w:val="en-GB"/>
              </w:rPr>
            </w:pPr>
            <w:r w:rsidRPr="002D240F">
              <w:rPr>
                <w:rFonts w:cs="Calibri"/>
                <w:lang w:val="bg"/>
              </w:rPr>
              <w:t>Въведение</w:t>
            </w:r>
          </w:p>
          <w:p w14:paraId="60F60742" w14:textId="05B003DF" w:rsidR="00622311" w:rsidRPr="002D240F" w:rsidRDefault="00622311" w:rsidP="00305C15">
            <w:pPr>
              <w:spacing w:after="120" w:line="240" w:lineRule="auto"/>
              <w:ind w:left="142"/>
              <w:jc w:val="both"/>
              <w:rPr>
                <w:rFonts w:cs="Calibri"/>
                <w:lang w:val="bg"/>
              </w:rPr>
            </w:pPr>
            <w:r w:rsidRPr="002D240F">
              <w:rPr>
                <w:rFonts w:cs="Calibri"/>
                <w:lang w:val="bg"/>
              </w:rPr>
              <w:t>Управлението на взаимоотношенията с клиентите (CRM) е комбинацията от практики, стратегии и технологии, които компаниите използват за управление и анализ на взаимодействията и данните на клиентите през целия жизнен цикъл на клиента. Целта е да се подобр</w:t>
            </w:r>
            <w:r w:rsidR="001E5B88" w:rsidRPr="002D240F">
              <w:rPr>
                <w:rFonts w:cs="Calibri"/>
                <w:lang w:val="bg"/>
              </w:rPr>
              <w:t>и</w:t>
            </w:r>
            <w:r w:rsidRPr="002D240F">
              <w:rPr>
                <w:rFonts w:cs="Calibri"/>
                <w:lang w:val="bg"/>
              </w:rPr>
              <w:t xml:space="preserve"> обслужването на клиенти и да се съдейства за задържането на клиентите и да се стимулира растежът на продажбите. CRM системите съставят клиентски данни в различни канали, или точки за контакт, между клиента и компанията, които биха могли да включват уебсайта на компанията, телефон, чат на живо, директна поща, маркетингови материали и социални мрежи. CRM системите могат също така да дадат на членовете на персонала, които са изправени пред клиентите, подробна информация за личната информация на клиентите, историята на покупките, предпочитанията за покупка и притесненията.</w:t>
            </w:r>
          </w:p>
          <w:p w14:paraId="5203D261" w14:textId="77777777" w:rsidR="00622311" w:rsidRPr="002D240F" w:rsidRDefault="00622311" w:rsidP="00305C15">
            <w:pPr>
              <w:numPr>
                <w:ilvl w:val="0"/>
                <w:numId w:val="20"/>
              </w:numPr>
              <w:spacing w:after="120" w:line="240" w:lineRule="auto"/>
              <w:jc w:val="both"/>
              <w:rPr>
                <w:rFonts w:cs="Calibri"/>
                <w:lang w:val="bg"/>
              </w:rPr>
            </w:pPr>
            <w:r w:rsidRPr="002D240F">
              <w:rPr>
                <w:rFonts w:cs="Calibri"/>
                <w:lang w:val="bg"/>
              </w:rPr>
              <w:t>Защо CRM е от полза за бизнеса</w:t>
            </w:r>
          </w:p>
          <w:p w14:paraId="77AAAEA6" w14:textId="77777777" w:rsidR="00622311" w:rsidRPr="002D240F" w:rsidRDefault="00622311" w:rsidP="00305C15">
            <w:pPr>
              <w:spacing w:after="120" w:line="240" w:lineRule="auto"/>
              <w:ind w:left="142"/>
              <w:jc w:val="both"/>
              <w:rPr>
                <w:rFonts w:cs="Calibri"/>
                <w:lang w:val="bg"/>
              </w:rPr>
            </w:pPr>
            <w:r w:rsidRPr="002D240F">
              <w:rPr>
                <w:rFonts w:cs="Calibri"/>
                <w:lang w:val="bg"/>
              </w:rPr>
              <w:t>Използването на CRM системи може да бъде от полза за организации, вариращи от малки фирми до големи корпорации, чрез:</w:t>
            </w:r>
          </w:p>
          <w:p w14:paraId="5E50E55B" w14:textId="4860965F" w:rsidR="00622311" w:rsidRPr="002D240F" w:rsidRDefault="00622311" w:rsidP="00305C15">
            <w:pPr>
              <w:numPr>
                <w:ilvl w:val="0"/>
                <w:numId w:val="22"/>
              </w:numPr>
              <w:spacing w:after="120" w:line="240" w:lineRule="auto"/>
              <w:jc w:val="both"/>
              <w:rPr>
                <w:rFonts w:cs="Calibri"/>
                <w:lang w:val="bg"/>
              </w:rPr>
            </w:pPr>
            <w:r w:rsidRPr="002D240F">
              <w:rPr>
                <w:rFonts w:cs="Calibri"/>
                <w:lang w:val="bg"/>
              </w:rPr>
              <w:t xml:space="preserve">Наличието на информация </w:t>
            </w:r>
            <w:r w:rsidR="00D43095" w:rsidRPr="002D240F">
              <w:rPr>
                <w:rFonts w:cs="Calibri"/>
                <w:lang w:val="bg"/>
              </w:rPr>
              <w:t>за</w:t>
            </w:r>
            <w:r w:rsidRPr="002D240F">
              <w:rPr>
                <w:rFonts w:cs="Calibri"/>
                <w:lang w:val="bg"/>
              </w:rPr>
              <w:t xml:space="preserve"> минали покупки и история на </w:t>
            </w:r>
            <w:r w:rsidR="001A3000" w:rsidRPr="002D240F">
              <w:rPr>
                <w:rFonts w:cs="Calibri"/>
                <w:lang w:val="bg"/>
              </w:rPr>
              <w:t>потребителя съставя база данни, която е желателно да бъде</w:t>
            </w:r>
            <w:r w:rsidRPr="002D240F">
              <w:rPr>
                <w:rFonts w:cs="Calibri"/>
                <w:lang w:val="bg"/>
              </w:rPr>
              <w:t xml:space="preserve"> лесно достъпна</w:t>
            </w:r>
            <w:r w:rsidR="001A3000" w:rsidRPr="002D240F">
              <w:rPr>
                <w:rFonts w:cs="Calibri"/>
                <w:lang w:val="bg"/>
              </w:rPr>
              <w:t xml:space="preserve">, за </w:t>
            </w:r>
            <w:r w:rsidRPr="002D240F">
              <w:rPr>
                <w:rFonts w:cs="Calibri"/>
                <w:lang w:val="bg"/>
              </w:rPr>
              <w:t>да</w:t>
            </w:r>
            <w:r w:rsidR="001A3000" w:rsidRPr="002D240F">
              <w:rPr>
                <w:rFonts w:cs="Calibri"/>
                <w:lang w:val="bg"/>
              </w:rPr>
              <w:t xml:space="preserve"> може да</w:t>
            </w:r>
            <w:r w:rsidRPr="002D240F">
              <w:rPr>
                <w:rFonts w:cs="Calibri"/>
                <w:lang w:val="bg"/>
              </w:rPr>
              <w:t xml:space="preserve"> по</w:t>
            </w:r>
            <w:r w:rsidR="001A3000" w:rsidRPr="002D240F">
              <w:rPr>
                <w:rFonts w:cs="Calibri"/>
                <w:lang w:val="bg"/>
              </w:rPr>
              <w:t>дпо</w:t>
            </w:r>
            <w:r w:rsidRPr="002D240F">
              <w:rPr>
                <w:rFonts w:cs="Calibri"/>
                <w:lang w:val="bg"/>
              </w:rPr>
              <w:t>могне представителите за поддръжка на клиенти да предоставят по-добро и по-бързо обслужване на клиентите.</w:t>
            </w:r>
          </w:p>
          <w:p w14:paraId="607BB11E" w14:textId="5DCC26BF" w:rsidR="00622311" w:rsidRPr="002D240F" w:rsidRDefault="00622311" w:rsidP="00305C15">
            <w:pPr>
              <w:numPr>
                <w:ilvl w:val="0"/>
                <w:numId w:val="22"/>
              </w:numPr>
              <w:spacing w:after="120" w:line="240" w:lineRule="auto"/>
              <w:jc w:val="both"/>
              <w:rPr>
                <w:rFonts w:cs="Calibri"/>
                <w:lang w:val="bg"/>
              </w:rPr>
            </w:pPr>
            <w:r w:rsidRPr="002D240F">
              <w:rPr>
                <w:rFonts w:cs="Calibri"/>
                <w:lang w:val="bg"/>
              </w:rPr>
              <w:t xml:space="preserve">Събирането на клиентски данни може да помогне на бизнеса да идентифицира тенденциите и </w:t>
            </w:r>
            <w:r w:rsidR="005C6697" w:rsidRPr="002D240F">
              <w:rPr>
                <w:rFonts w:cs="Calibri"/>
                <w:lang w:val="bg"/>
              </w:rPr>
              <w:t>желанията</w:t>
            </w:r>
            <w:r w:rsidRPr="002D240F">
              <w:rPr>
                <w:rFonts w:cs="Calibri"/>
                <w:lang w:val="bg"/>
              </w:rPr>
              <w:t xml:space="preserve"> </w:t>
            </w:r>
            <w:r w:rsidR="005C6697" w:rsidRPr="002D240F">
              <w:rPr>
                <w:rFonts w:cs="Calibri"/>
                <w:lang w:val="bg"/>
              </w:rPr>
              <w:t>н</w:t>
            </w:r>
            <w:r w:rsidRPr="002D240F">
              <w:rPr>
                <w:rFonts w:cs="Calibri"/>
                <w:lang w:val="bg"/>
              </w:rPr>
              <w:t>а своите клиенти.</w:t>
            </w:r>
          </w:p>
          <w:p w14:paraId="0446BCAB" w14:textId="76F99667" w:rsidR="00622311" w:rsidRPr="002D240F" w:rsidRDefault="00622311" w:rsidP="00305C15">
            <w:pPr>
              <w:numPr>
                <w:ilvl w:val="0"/>
                <w:numId w:val="22"/>
              </w:numPr>
              <w:spacing w:after="120" w:line="240" w:lineRule="auto"/>
              <w:jc w:val="both"/>
              <w:rPr>
                <w:rFonts w:cs="Calibri"/>
                <w:lang w:val="bg"/>
              </w:rPr>
            </w:pPr>
            <w:r w:rsidRPr="002D240F">
              <w:rPr>
                <w:rFonts w:cs="Calibri"/>
                <w:lang w:val="bg"/>
              </w:rPr>
              <w:t xml:space="preserve">Автоматизация на </w:t>
            </w:r>
            <w:r w:rsidR="00B00E75" w:rsidRPr="002D240F">
              <w:rPr>
                <w:rFonts w:cs="Calibri"/>
                <w:lang w:val="bg-BG"/>
              </w:rPr>
              <w:t>рутинни</w:t>
            </w:r>
            <w:r w:rsidRPr="002D240F">
              <w:rPr>
                <w:rFonts w:cs="Calibri"/>
                <w:lang w:val="bg"/>
              </w:rPr>
              <w:t>, но необходими</w:t>
            </w:r>
            <w:r w:rsidR="00B00E75" w:rsidRPr="002D240F">
              <w:rPr>
                <w:rFonts w:cs="Calibri"/>
                <w:lang w:val="bg"/>
              </w:rPr>
              <w:t xml:space="preserve"> дейности</w:t>
            </w:r>
            <w:r w:rsidRPr="002D240F">
              <w:rPr>
                <w:rFonts w:cs="Calibri"/>
                <w:lang w:val="bg"/>
              </w:rPr>
              <w:t xml:space="preserve">, </w:t>
            </w:r>
            <w:r w:rsidR="00B00E75" w:rsidRPr="002D240F">
              <w:rPr>
                <w:rFonts w:cs="Calibri"/>
                <w:lang w:val="bg"/>
              </w:rPr>
              <w:t xml:space="preserve">създаване на </w:t>
            </w:r>
            <w:r w:rsidRPr="002D240F">
              <w:rPr>
                <w:rFonts w:cs="Calibri"/>
                <w:lang w:val="bg"/>
              </w:rPr>
              <w:t>продажбен</w:t>
            </w:r>
            <w:r w:rsidR="00B00E75" w:rsidRPr="002D240F">
              <w:rPr>
                <w:rFonts w:cs="Calibri"/>
                <w:lang w:val="bg"/>
              </w:rPr>
              <w:t>а</w:t>
            </w:r>
            <w:r w:rsidRPr="002D240F">
              <w:rPr>
                <w:rFonts w:cs="Calibri"/>
                <w:lang w:val="bg"/>
              </w:rPr>
              <w:t xml:space="preserve"> фуния и </w:t>
            </w:r>
            <w:r w:rsidR="00B00E75" w:rsidRPr="002D240F">
              <w:rPr>
                <w:rFonts w:cs="Calibri"/>
                <w:lang w:val="bg"/>
              </w:rPr>
              <w:t xml:space="preserve">съставяне на </w:t>
            </w:r>
            <w:r w:rsidRPr="002D240F">
              <w:rPr>
                <w:rFonts w:cs="Calibri"/>
                <w:lang w:val="bg"/>
              </w:rPr>
              <w:t xml:space="preserve">задачи за поддръжка на </w:t>
            </w:r>
            <w:r w:rsidR="009556EE" w:rsidRPr="002D240F">
              <w:rPr>
                <w:rFonts w:cs="Calibri"/>
                <w:lang w:val="bg"/>
              </w:rPr>
              <w:t xml:space="preserve">съществуващи </w:t>
            </w:r>
            <w:r w:rsidRPr="002D240F">
              <w:rPr>
                <w:rFonts w:cs="Calibri"/>
                <w:lang w:val="bg"/>
              </w:rPr>
              <w:t>клиенти.</w:t>
            </w:r>
          </w:p>
          <w:p w14:paraId="638CE81B" w14:textId="77777777" w:rsidR="009418E9" w:rsidRPr="002D240F" w:rsidRDefault="009418E9" w:rsidP="00305C15">
            <w:pPr>
              <w:spacing w:after="120" w:line="240" w:lineRule="auto"/>
              <w:jc w:val="both"/>
              <w:rPr>
                <w:rFonts w:cs="Calibri"/>
                <w:lang w:val="bg"/>
              </w:rPr>
            </w:pPr>
          </w:p>
          <w:p w14:paraId="28C0ADC3" w14:textId="3DA96E86" w:rsidR="00622311" w:rsidRPr="002D240F" w:rsidRDefault="00622311" w:rsidP="00305C15">
            <w:pPr>
              <w:numPr>
                <w:ilvl w:val="3"/>
                <w:numId w:val="29"/>
              </w:numPr>
              <w:spacing w:after="120" w:line="240" w:lineRule="auto"/>
              <w:jc w:val="both"/>
              <w:rPr>
                <w:rFonts w:cs="Calibri"/>
                <w:lang w:val="en-GB"/>
              </w:rPr>
            </w:pPr>
            <w:r w:rsidRPr="002D240F">
              <w:rPr>
                <w:rFonts w:cs="Calibri"/>
                <w:lang w:val="bg"/>
              </w:rPr>
              <w:t>Компоненти на CRM</w:t>
            </w:r>
          </w:p>
          <w:p w14:paraId="02D6C9D1" w14:textId="77777777" w:rsidR="00622311" w:rsidRPr="002D240F" w:rsidRDefault="00622311" w:rsidP="00305C15">
            <w:pPr>
              <w:spacing w:after="120" w:line="240" w:lineRule="auto"/>
              <w:ind w:left="142"/>
              <w:jc w:val="both"/>
              <w:rPr>
                <w:rFonts w:cs="Calibri"/>
                <w:lang w:val="en-GB"/>
              </w:rPr>
            </w:pPr>
            <w:r w:rsidRPr="002D240F">
              <w:rPr>
                <w:rFonts w:cs="Calibri"/>
                <w:lang w:val="bg"/>
              </w:rPr>
              <w:t>На най-основно ниво CRM софтуерът консолидира информацията за клиентите и я документира в една-единствена CRM база данни, така че бизнес потребителите да могат по-лесно да получат достъп до нея и да я управляват.</w:t>
            </w:r>
          </w:p>
          <w:p w14:paraId="451217EA" w14:textId="0E8EAFC5" w:rsidR="00622311" w:rsidRPr="002D240F" w:rsidRDefault="00622311" w:rsidP="00305C15">
            <w:pPr>
              <w:spacing w:after="120" w:line="240" w:lineRule="auto"/>
              <w:ind w:left="142"/>
              <w:jc w:val="both"/>
              <w:rPr>
                <w:rFonts w:cs="Calibri"/>
                <w:lang w:val="bg"/>
              </w:rPr>
            </w:pPr>
            <w:r w:rsidRPr="002D240F">
              <w:rPr>
                <w:rFonts w:cs="Calibri"/>
                <w:lang w:val="bg"/>
              </w:rPr>
              <w:t xml:space="preserve">С течение на времето към CRM системите са добавени много допълнителни функции, за да станат по-полезни. Някои от тези функции включват записване на различни взаимодействия на клиенти по имейл, телефон, социални медии или други канали; в зависимост от възможностите на системата, автоматизиране на различни процеси на автоматизация на </w:t>
            </w:r>
            <w:r w:rsidRPr="002D240F">
              <w:rPr>
                <w:rFonts w:cs="Calibri"/>
                <w:lang w:val="bg"/>
              </w:rPr>
              <w:lastRenderedPageBreak/>
              <w:t>работния поток, като задачи, календари и сигнали; и даване на възможност на мениджърите да проследяват производителността въз основа на информация, вписана в рамките на системата:</w:t>
            </w:r>
          </w:p>
          <w:p w14:paraId="56D39340" w14:textId="657B0F2B" w:rsidR="00622311" w:rsidRPr="002D240F" w:rsidRDefault="00622311" w:rsidP="00305C15">
            <w:pPr>
              <w:spacing w:after="120" w:line="240" w:lineRule="auto"/>
              <w:ind w:left="142"/>
              <w:jc w:val="both"/>
              <w:rPr>
                <w:rFonts w:cs="Calibri"/>
                <w:lang w:val="bg"/>
              </w:rPr>
            </w:pPr>
            <w:r w:rsidRPr="002D240F">
              <w:rPr>
                <w:rFonts w:cs="Calibri"/>
                <w:b/>
                <w:bCs/>
                <w:lang w:val="bg"/>
              </w:rPr>
              <w:t>Маркетинг</w:t>
            </w:r>
            <w:r w:rsidR="00F64818" w:rsidRPr="002D240F">
              <w:rPr>
                <w:rFonts w:cs="Calibri"/>
                <w:b/>
                <w:bCs/>
                <w:lang w:val="bg"/>
              </w:rPr>
              <w:t>ова</w:t>
            </w:r>
            <w:r w:rsidRPr="002D240F">
              <w:rPr>
                <w:rFonts w:cs="Calibri"/>
                <w:b/>
                <w:bCs/>
                <w:lang w:val="bg"/>
              </w:rPr>
              <w:t xml:space="preserve"> автоматизация</w:t>
            </w:r>
            <w:r w:rsidRPr="002D240F">
              <w:rPr>
                <w:rFonts w:cs="Calibri"/>
                <w:lang w:val="bg"/>
              </w:rPr>
              <w:t xml:space="preserve">. CRM инструментите с възможности за автоматизация на маркетинга могат да автоматизират повтарящи се задачи за засилване на маркетинговите усилия в различни точки от жизнения цикъл. Например, тъй като перспективите за продажби </w:t>
            </w:r>
            <w:r w:rsidR="00E53F64" w:rsidRPr="002D240F">
              <w:rPr>
                <w:rFonts w:cs="Calibri"/>
                <w:lang w:val="bg"/>
              </w:rPr>
              <w:t>влизат</w:t>
            </w:r>
            <w:r w:rsidRPr="002D240F">
              <w:rPr>
                <w:rFonts w:cs="Calibri"/>
                <w:lang w:val="bg"/>
              </w:rPr>
              <w:t xml:space="preserve"> в системата, тя може автоматично да изпрати имейл </w:t>
            </w:r>
            <w:r w:rsidR="001A0E9E" w:rsidRPr="002D240F">
              <w:rPr>
                <w:rFonts w:cs="Calibri"/>
                <w:lang w:val="bg"/>
              </w:rPr>
              <w:t xml:space="preserve">с </w:t>
            </w:r>
            <w:r w:rsidRPr="002D240F">
              <w:rPr>
                <w:rFonts w:cs="Calibri"/>
                <w:lang w:val="bg"/>
              </w:rPr>
              <w:t>маркетинг</w:t>
            </w:r>
            <w:r w:rsidR="001A0E9E" w:rsidRPr="002D240F">
              <w:rPr>
                <w:rFonts w:cs="Calibri"/>
                <w:lang w:val="bg"/>
              </w:rPr>
              <w:t>ово</w:t>
            </w:r>
            <w:r w:rsidRPr="002D240F">
              <w:rPr>
                <w:rFonts w:cs="Calibri"/>
                <w:lang w:val="bg"/>
              </w:rPr>
              <w:t xml:space="preserve"> съдържание, с цел превръщане на потенциален клиент за продажби в </w:t>
            </w:r>
            <w:r w:rsidR="001A0E9E" w:rsidRPr="002D240F">
              <w:rPr>
                <w:rFonts w:cs="Calibri"/>
                <w:lang w:val="bg"/>
              </w:rPr>
              <w:t>реален</w:t>
            </w:r>
            <w:r w:rsidRPr="002D240F">
              <w:rPr>
                <w:rFonts w:cs="Calibri"/>
                <w:lang w:val="bg"/>
              </w:rPr>
              <w:t xml:space="preserve"> клиент.</w:t>
            </w:r>
          </w:p>
          <w:p w14:paraId="0DC4E6A1" w14:textId="506752EB" w:rsidR="00622311" w:rsidRPr="002D240F" w:rsidRDefault="00622311" w:rsidP="00305C15">
            <w:pPr>
              <w:spacing w:after="120" w:line="240" w:lineRule="auto"/>
              <w:ind w:left="142"/>
              <w:jc w:val="both"/>
              <w:rPr>
                <w:rFonts w:cs="Calibri"/>
                <w:lang w:val="bg"/>
              </w:rPr>
            </w:pPr>
            <w:r w:rsidRPr="002D240F">
              <w:rPr>
                <w:rFonts w:cs="Calibri"/>
                <w:b/>
                <w:bCs/>
                <w:lang w:val="bg"/>
              </w:rPr>
              <w:t>Автоматизация на продажби</w:t>
            </w:r>
            <w:r w:rsidR="001A0E9E" w:rsidRPr="002D240F">
              <w:rPr>
                <w:rFonts w:cs="Calibri"/>
                <w:b/>
                <w:bCs/>
                <w:lang w:val="bg"/>
              </w:rPr>
              <w:t>те</w:t>
            </w:r>
            <w:r w:rsidRPr="002D240F">
              <w:rPr>
                <w:rFonts w:cs="Calibri"/>
                <w:lang w:val="bg"/>
              </w:rPr>
              <w:t>. Инструментите за автоматизация на продажби</w:t>
            </w:r>
            <w:r w:rsidR="001A0E9E" w:rsidRPr="002D240F">
              <w:rPr>
                <w:rFonts w:cs="Calibri"/>
                <w:lang w:val="bg"/>
              </w:rPr>
              <w:t>те</w:t>
            </w:r>
            <w:r w:rsidRPr="002D240F">
              <w:rPr>
                <w:rFonts w:cs="Calibri"/>
                <w:lang w:val="bg"/>
              </w:rPr>
              <w:t xml:space="preserve"> проследяват взаимодействията на клиентите и автоматизират определени бизнес функции от цикъла на продажбите, които са необходими за следване на потенциални клиенти, </w:t>
            </w:r>
            <w:r w:rsidR="00B47A6F" w:rsidRPr="002D240F">
              <w:rPr>
                <w:rFonts w:cs="Calibri"/>
                <w:lang w:val="bg"/>
              </w:rPr>
              <w:t>намиране</w:t>
            </w:r>
            <w:r w:rsidRPr="002D240F">
              <w:rPr>
                <w:rFonts w:cs="Calibri"/>
                <w:lang w:val="bg"/>
              </w:rPr>
              <w:t xml:space="preserve"> на нови клиенти и изграждане на лоялност на клиентите.</w:t>
            </w:r>
          </w:p>
          <w:p w14:paraId="55D062F0" w14:textId="40E9CA04" w:rsidR="00622311" w:rsidRPr="002D240F" w:rsidRDefault="00622311" w:rsidP="00305C15">
            <w:pPr>
              <w:spacing w:after="120" w:line="240" w:lineRule="auto"/>
              <w:ind w:left="142"/>
              <w:jc w:val="both"/>
              <w:rPr>
                <w:rFonts w:cs="Calibri"/>
                <w:lang w:val="bg"/>
              </w:rPr>
            </w:pPr>
            <w:r w:rsidRPr="002D240F">
              <w:rPr>
                <w:rFonts w:cs="Calibri"/>
                <w:b/>
                <w:bCs/>
                <w:lang w:val="bg"/>
              </w:rPr>
              <w:t>Автоматизация на контакт</w:t>
            </w:r>
            <w:r w:rsidR="0026660C" w:rsidRPr="002D240F">
              <w:rPr>
                <w:rFonts w:cs="Calibri"/>
                <w:b/>
                <w:bCs/>
                <w:lang w:val="bg"/>
              </w:rPr>
              <w:t>ния</w:t>
            </w:r>
            <w:r w:rsidRPr="002D240F">
              <w:rPr>
                <w:rFonts w:cs="Calibri"/>
                <w:b/>
                <w:bCs/>
                <w:lang w:val="bg"/>
              </w:rPr>
              <w:t xml:space="preserve"> център</w:t>
            </w:r>
            <w:r w:rsidRPr="002D240F">
              <w:rPr>
                <w:rFonts w:cs="Calibri"/>
                <w:lang w:val="bg"/>
              </w:rPr>
              <w:t xml:space="preserve">. Проектиран да намали досадните аспекти на работата, автоматизацията на контактния център може да включва предварително </w:t>
            </w:r>
            <w:r w:rsidR="00717B2E" w:rsidRPr="002D240F">
              <w:rPr>
                <w:rFonts w:cs="Calibri"/>
                <w:lang w:val="bg"/>
              </w:rPr>
              <w:t>записано</w:t>
            </w:r>
            <w:r w:rsidRPr="002D240F">
              <w:rPr>
                <w:rFonts w:cs="Calibri"/>
                <w:lang w:val="bg"/>
              </w:rPr>
              <w:t xml:space="preserve"> аудио, което съдейства при решаването на проблеми и разпространението на информация. Различни софтуерни инструменти, които се интегрират с инструментите на агента, могат да се справят с и</w:t>
            </w:r>
            <w:r w:rsidR="009B7B38" w:rsidRPr="002D240F">
              <w:rPr>
                <w:rFonts w:cs="Calibri"/>
                <w:lang w:val="bg"/>
              </w:rPr>
              <w:t>зи</w:t>
            </w:r>
            <w:r w:rsidRPr="002D240F">
              <w:rPr>
                <w:rFonts w:cs="Calibri"/>
                <w:lang w:val="bg"/>
              </w:rPr>
              <w:t>ск</w:t>
            </w:r>
            <w:r w:rsidR="009B7B38" w:rsidRPr="002D240F">
              <w:rPr>
                <w:rFonts w:cs="Calibri"/>
                <w:lang w:val="bg"/>
              </w:rPr>
              <w:t>в</w:t>
            </w:r>
            <w:r w:rsidRPr="002D240F">
              <w:rPr>
                <w:rFonts w:cs="Calibri"/>
                <w:lang w:val="bg"/>
              </w:rPr>
              <w:t xml:space="preserve">анията на клиентите, за да се намали продължителността на обажданията и да се опростят процесите на обслужване на клиенти. Автоматизираните инструменти на центъра за контакти, като чатботовете, могат да подобрят потребителските </w:t>
            </w:r>
            <w:r w:rsidR="00EE45A5" w:rsidRPr="002D240F">
              <w:rPr>
                <w:rFonts w:cs="Calibri"/>
                <w:lang w:val="bg"/>
              </w:rPr>
              <w:t>пре</w:t>
            </w:r>
            <w:r w:rsidRPr="002D240F">
              <w:rPr>
                <w:rFonts w:cs="Calibri"/>
                <w:lang w:val="bg"/>
              </w:rPr>
              <w:t>живявания.</w:t>
            </w:r>
          </w:p>
          <w:p w14:paraId="367070B9" w14:textId="77777777" w:rsidR="00622311" w:rsidRPr="002D240F" w:rsidRDefault="00622311" w:rsidP="00305C15">
            <w:pPr>
              <w:spacing w:after="120" w:line="240" w:lineRule="auto"/>
              <w:ind w:left="142"/>
              <w:jc w:val="both"/>
              <w:rPr>
                <w:rFonts w:cs="Calibri"/>
                <w:lang w:val="bg"/>
              </w:rPr>
            </w:pPr>
            <w:r w:rsidRPr="002D240F">
              <w:rPr>
                <w:rFonts w:cs="Calibri"/>
                <w:b/>
                <w:bCs/>
                <w:lang w:val="bg"/>
              </w:rPr>
              <w:t>Геолокационна технология</w:t>
            </w:r>
            <w:r w:rsidRPr="002D240F">
              <w:rPr>
                <w:rFonts w:cs="Calibri"/>
                <w:lang w:val="bg"/>
              </w:rPr>
              <w:t>, или услуги, базирани на местоположение. Някои CRM системи включват технология, която може да създава географски маркетингови кампании въз основа на физическите местоположения на клиентите, като понякога се интегрира с популярни приложения за GPS (глобална позиционираща система), базирани на местоположение. Технологията за геолокация може да се използва и като инструмент за управление на мрежи или контакт с цел намиране на перспективи за продажби въз основа на местоположение.</w:t>
            </w:r>
          </w:p>
          <w:p w14:paraId="3F699A26" w14:textId="1BE1EF7C" w:rsidR="00622311" w:rsidRPr="002D240F" w:rsidRDefault="00622311" w:rsidP="00305C15">
            <w:pPr>
              <w:spacing w:after="120" w:line="240" w:lineRule="auto"/>
              <w:ind w:left="142"/>
              <w:jc w:val="both"/>
              <w:rPr>
                <w:rFonts w:cs="Calibri"/>
                <w:lang w:val="bg"/>
              </w:rPr>
            </w:pPr>
            <w:r w:rsidRPr="002D240F">
              <w:rPr>
                <w:rFonts w:cs="Calibri"/>
                <w:b/>
                <w:bCs/>
                <w:lang w:val="bg"/>
              </w:rPr>
              <w:t>Автоматизация на работния поток</w:t>
            </w:r>
            <w:r w:rsidRPr="002D240F">
              <w:rPr>
                <w:rFonts w:cs="Calibri"/>
                <w:lang w:val="bg"/>
              </w:rPr>
              <w:t>. CRM системите помагат на предприятията да оптимизират процесите чрез рационализиране на натоварване</w:t>
            </w:r>
            <w:r w:rsidR="00CD02C1" w:rsidRPr="002D240F">
              <w:rPr>
                <w:rFonts w:cs="Calibri"/>
                <w:lang w:val="bg"/>
              </w:rPr>
              <w:t>то</w:t>
            </w:r>
            <w:r w:rsidRPr="002D240F">
              <w:rPr>
                <w:rFonts w:cs="Calibri"/>
                <w:lang w:val="bg"/>
              </w:rPr>
              <w:t>, като дават възможност на служителите да се съсредоточат върху творчески и по-високопоставени задачи.</w:t>
            </w:r>
          </w:p>
          <w:p w14:paraId="514B7075" w14:textId="3CE2ED53" w:rsidR="00622311" w:rsidRPr="002D240F" w:rsidRDefault="00622311" w:rsidP="00305C15">
            <w:pPr>
              <w:spacing w:after="120" w:line="240" w:lineRule="auto"/>
              <w:ind w:left="142"/>
              <w:jc w:val="both"/>
              <w:rPr>
                <w:rFonts w:cs="Calibri"/>
                <w:lang w:val="bg"/>
              </w:rPr>
            </w:pPr>
            <w:r w:rsidRPr="002D240F">
              <w:rPr>
                <w:rFonts w:cs="Calibri"/>
                <w:b/>
                <w:bCs/>
                <w:lang w:val="bg"/>
              </w:rPr>
              <w:t>Управление</w:t>
            </w:r>
            <w:r w:rsidRPr="002D240F">
              <w:rPr>
                <w:rFonts w:cs="Calibri"/>
                <w:lang w:val="bg"/>
              </w:rPr>
              <w:t>. Потенциалните клиенти могат да бъдат проследени чрез CRM, което дава възможност на търговските екипи да въвеждат, проследяват и анализират данни за потенциални клиенти на едно място.</w:t>
            </w:r>
          </w:p>
          <w:p w14:paraId="56260B60" w14:textId="77777777" w:rsidR="00622311" w:rsidRPr="002D240F" w:rsidRDefault="00622311" w:rsidP="00305C15">
            <w:pPr>
              <w:spacing w:after="120" w:line="240" w:lineRule="auto"/>
              <w:ind w:left="142"/>
              <w:jc w:val="both"/>
              <w:rPr>
                <w:rFonts w:cs="Calibri"/>
                <w:lang w:val="bg"/>
              </w:rPr>
            </w:pPr>
            <w:r w:rsidRPr="002D240F">
              <w:rPr>
                <w:rFonts w:cs="Calibri"/>
                <w:b/>
                <w:bCs/>
                <w:lang w:val="bg"/>
              </w:rPr>
              <w:t>Управление на човешките ресурси (HRM)</w:t>
            </w:r>
            <w:r w:rsidRPr="002D240F">
              <w:rPr>
                <w:rFonts w:cs="Calibri"/>
                <w:lang w:val="bg"/>
              </w:rPr>
              <w:t>. CRM системите помагат за проследяване на информацията за служителите, като например информация за контакт, прегледи на производителността и ползи в рамките на дадена фирма. Това дава възможност на отдел "Човешки ресурси" да управлява по-ефективно вътрешната работна сила.</w:t>
            </w:r>
          </w:p>
          <w:p w14:paraId="0C8F37AC" w14:textId="3273A04F" w:rsidR="00622311" w:rsidRPr="002D240F" w:rsidRDefault="00622311" w:rsidP="00305C15">
            <w:pPr>
              <w:spacing w:after="120" w:line="240" w:lineRule="auto"/>
              <w:ind w:left="142"/>
              <w:jc w:val="both"/>
              <w:rPr>
                <w:rFonts w:cs="Calibri"/>
                <w:lang w:val="bg"/>
              </w:rPr>
            </w:pPr>
            <w:r w:rsidRPr="002D240F">
              <w:rPr>
                <w:rFonts w:cs="Calibri"/>
                <w:b/>
                <w:bCs/>
                <w:lang w:val="bg"/>
              </w:rPr>
              <w:t>Анализ</w:t>
            </w:r>
            <w:r w:rsidRPr="002D240F">
              <w:rPr>
                <w:rFonts w:cs="Calibri"/>
                <w:lang w:val="bg"/>
              </w:rPr>
              <w:t>. Анализът в CRM спомага за създаването на по-</w:t>
            </w:r>
            <w:r w:rsidR="00DC25D9" w:rsidRPr="002D240F">
              <w:rPr>
                <w:rFonts w:cs="Calibri"/>
                <w:lang w:val="bg"/>
              </w:rPr>
              <w:t>високи</w:t>
            </w:r>
            <w:r w:rsidRPr="002D240F">
              <w:rPr>
                <w:rFonts w:cs="Calibri"/>
                <w:lang w:val="bg"/>
              </w:rPr>
              <w:t xml:space="preserve"> </w:t>
            </w:r>
            <w:r w:rsidR="00DC25D9" w:rsidRPr="002D240F">
              <w:rPr>
                <w:rFonts w:cs="Calibri"/>
                <w:lang w:val="bg"/>
              </w:rPr>
              <w:t>нива</w:t>
            </w:r>
            <w:r w:rsidRPr="002D240F">
              <w:rPr>
                <w:rFonts w:cs="Calibri"/>
                <w:lang w:val="bg"/>
              </w:rPr>
              <w:t xml:space="preserve"> на удовлетвореност на клиентите, като анализира потребителските данни и помага за създаването на целеви </w:t>
            </w:r>
            <w:r w:rsidRPr="002D240F">
              <w:rPr>
                <w:rFonts w:cs="Calibri"/>
                <w:lang w:val="bg"/>
              </w:rPr>
              <w:lastRenderedPageBreak/>
              <w:t>маркетингови кампании.</w:t>
            </w:r>
          </w:p>
          <w:p w14:paraId="6D577422" w14:textId="7E147035" w:rsidR="00622311" w:rsidRPr="002D240F" w:rsidRDefault="00622311" w:rsidP="00305C15">
            <w:pPr>
              <w:spacing w:after="120" w:line="240" w:lineRule="auto"/>
              <w:ind w:left="142"/>
              <w:jc w:val="both"/>
              <w:rPr>
                <w:rFonts w:cs="Calibri"/>
                <w:lang w:val="bg"/>
              </w:rPr>
            </w:pPr>
            <w:r w:rsidRPr="002D240F">
              <w:rPr>
                <w:rFonts w:cs="Calibri"/>
                <w:b/>
                <w:bCs/>
                <w:lang w:val="bg"/>
              </w:rPr>
              <w:t>Изкуствен интелект</w:t>
            </w:r>
            <w:r w:rsidRPr="002D240F">
              <w:rPr>
                <w:rFonts w:cs="Calibri"/>
                <w:lang w:val="bg"/>
              </w:rPr>
              <w:t>. AI технологиите, като Salesforce Einstein, са вградени в CRM платформи</w:t>
            </w:r>
            <w:r w:rsidR="00C21BB9" w:rsidRPr="002D240F">
              <w:rPr>
                <w:rFonts w:cs="Calibri"/>
                <w:lang w:val="bg"/>
              </w:rPr>
              <w:t>те</w:t>
            </w:r>
            <w:r w:rsidRPr="002D240F">
              <w:rPr>
                <w:rFonts w:cs="Calibri"/>
                <w:lang w:val="bg"/>
              </w:rPr>
              <w:t xml:space="preserve"> за автоматизиране на повтарящи се задачи, идентифициране на модели за закупуване на клиенти, за да се прогнозират бъдещите поведения на клиентите и др.</w:t>
            </w:r>
          </w:p>
          <w:p w14:paraId="4F0F3476" w14:textId="0476A95E" w:rsidR="00622311" w:rsidRPr="002D240F" w:rsidRDefault="00622311" w:rsidP="00305C15">
            <w:pPr>
              <w:spacing w:after="120" w:line="240" w:lineRule="auto"/>
              <w:ind w:left="142"/>
              <w:jc w:val="both"/>
              <w:rPr>
                <w:rFonts w:cs="Calibri"/>
                <w:lang w:val="bg"/>
              </w:rPr>
            </w:pPr>
            <w:r w:rsidRPr="002D240F">
              <w:rPr>
                <w:rFonts w:cs="Calibri"/>
                <w:b/>
                <w:bCs/>
                <w:lang w:val="bg"/>
              </w:rPr>
              <w:t>Управление на проекти</w:t>
            </w:r>
            <w:r w:rsidRPr="002D240F">
              <w:rPr>
                <w:rFonts w:cs="Calibri"/>
                <w:lang w:val="bg"/>
              </w:rPr>
              <w:t xml:space="preserve">. Някои CRM системи включват функции, които помагат на потребителите да следят подробностите за клиентски проекти като цели, процеси, управление на риска и </w:t>
            </w:r>
            <w:r w:rsidR="00656513" w:rsidRPr="002D240F">
              <w:rPr>
                <w:rFonts w:cs="Calibri"/>
                <w:lang w:val="bg"/>
              </w:rPr>
              <w:t>напредък</w:t>
            </w:r>
            <w:r w:rsidRPr="002D240F">
              <w:rPr>
                <w:rFonts w:cs="Calibri"/>
                <w:lang w:val="bg"/>
              </w:rPr>
              <w:t>.</w:t>
            </w:r>
          </w:p>
          <w:p w14:paraId="155C734E" w14:textId="77777777" w:rsidR="00622311" w:rsidRPr="002D240F" w:rsidRDefault="00622311" w:rsidP="00305C15">
            <w:pPr>
              <w:spacing w:after="120" w:line="240" w:lineRule="auto"/>
              <w:ind w:left="142"/>
              <w:jc w:val="both"/>
              <w:rPr>
                <w:rFonts w:cs="Calibri"/>
                <w:lang w:val="bg"/>
              </w:rPr>
            </w:pPr>
            <w:r w:rsidRPr="002D240F">
              <w:rPr>
                <w:rFonts w:cs="Calibri"/>
                <w:b/>
                <w:bCs/>
                <w:lang w:val="bg"/>
              </w:rPr>
              <w:t>Интеграция с друг софтуер</w:t>
            </w:r>
            <w:r w:rsidRPr="002D240F">
              <w:rPr>
                <w:rFonts w:cs="Calibri"/>
                <w:lang w:val="bg"/>
              </w:rPr>
              <w:t>. Много CRM системи могат да се интегрират с друг софтуер, като кол център и системи за планиране на корпоративни ресурси (ERP).</w:t>
            </w:r>
          </w:p>
          <w:p w14:paraId="069E9F2E" w14:textId="77777777" w:rsidR="009418E9" w:rsidRPr="002D240F" w:rsidRDefault="009418E9" w:rsidP="00305C15">
            <w:pPr>
              <w:spacing w:after="120" w:line="240" w:lineRule="auto"/>
              <w:jc w:val="both"/>
              <w:rPr>
                <w:rFonts w:cs="Calibri"/>
                <w:lang w:val="bg"/>
              </w:rPr>
            </w:pPr>
          </w:p>
          <w:p w14:paraId="16C0220C" w14:textId="3708D600" w:rsidR="00622311" w:rsidRPr="002D240F" w:rsidRDefault="00622311" w:rsidP="00305C15">
            <w:pPr>
              <w:numPr>
                <w:ilvl w:val="3"/>
                <w:numId w:val="29"/>
              </w:numPr>
              <w:spacing w:after="120" w:line="240" w:lineRule="auto"/>
              <w:jc w:val="both"/>
              <w:rPr>
                <w:rFonts w:cs="Calibri"/>
                <w:lang w:val="en-GB"/>
              </w:rPr>
            </w:pPr>
            <w:r w:rsidRPr="002D240F">
              <w:rPr>
                <w:rFonts w:cs="Calibri"/>
                <w:lang w:val="bg"/>
              </w:rPr>
              <w:t xml:space="preserve">Видове CRM </w:t>
            </w:r>
          </w:p>
          <w:p w14:paraId="56748D60" w14:textId="6DD186C4" w:rsidR="00517970" w:rsidRPr="002D240F" w:rsidRDefault="00622311" w:rsidP="00305C15">
            <w:pPr>
              <w:spacing w:after="120" w:line="240" w:lineRule="auto"/>
              <w:ind w:left="142"/>
              <w:jc w:val="both"/>
              <w:rPr>
                <w:rFonts w:cs="Calibri"/>
                <w:lang w:val="en-GB"/>
              </w:rPr>
            </w:pPr>
            <w:r w:rsidRPr="002D240F">
              <w:rPr>
                <w:rFonts w:cs="Calibri"/>
                <w:lang w:val="bg"/>
              </w:rPr>
              <w:t>Четирите основни доставчици на CRM системи са Salesforce, Microsoft, SAP и Oracle. Други доставчици са популярни сред малките до средните бизнеси, но тези четири са склонни да бъдат изборът за големи корпорации. Видовете предлаган</w:t>
            </w:r>
            <w:r w:rsidR="00A9130B" w:rsidRPr="002D240F">
              <w:rPr>
                <w:rFonts w:cs="Calibri"/>
                <w:lang w:val="bg"/>
              </w:rPr>
              <w:t>и</w:t>
            </w:r>
            <w:r w:rsidRPr="002D240F">
              <w:rPr>
                <w:rFonts w:cs="Calibri"/>
                <w:lang w:val="bg"/>
              </w:rPr>
              <w:t xml:space="preserve"> CRM технологи</w:t>
            </w:r>
            <w:r w:rsidR="00A9130B" w:rsidRPr="002D240F">
              <w:rPr>
                <w:rFonts w:cs="Calibri"/>
                <w:lang w:val="bg"/>
              </w:rPr>
              <w:t>и</w:t>
            </w:r>
            <w:r w:rsidRPr="002D240F">
              <w:rPr>
                <w:rFonts w:cs="Calibri"/>
                <w:lang w:val="bg"/>
              </w:rPr>
              <w:t xml:space="preserve"> са следните:</w:t>
            </w:r>
          </w:p>
          <w:p w14:paraId="56D4558C" w14:textId="77777777" w:rsidR="009418E9" w:rsidRPr="002D240F" w:rsidRDefault="009418E9" w:rsidP="00305C15">
            <w:pPr>
              <w:spacing w:after="120" w:line="240" w:lineRule="auto"/>
              <w:ind w:left="142"/>
              <w:jc w:val="both"/>
              <w:rPr>
                <w:rFonts w:cs="Calibri"/>
                <w:lang w:val="en-GB"/>
              </w:rPr>
            </w:pPr>
          </w:p>
          <w:p w14:paraId="7FDCF6BD" w14:textId="7F27D069" w:rsidR="00AC5C9F" w:rsidRPr="002D240F" w:rsidRDefault="00AC5C9F" w:rsidP="00305C15">
            <w:pPr>
              <w:numPr>
                <w:ilvl w:val="0"/>
                <w:numId w:val="23"/>
              </w:numPr>
              <w:spacing w:after="120" w:line="240" w:lineRule="auto"/>
              <w:jc w:val="both"/>
              <w:rPr>
                <w:rFonts w:cs="Calibri"/>
                <w:lang w:val="en-GB"/>
              </w:rPr>
            </w:pPr>
            <w:r w:rsidRPr="002D240F">
              <w:rPr>
                <w:rFonts w:cs="Calibri"/>
                <w:lang w:val="bg"/>
              </w:rPr>
              <w:t>CRM</w:t>
            </w:r>
            <w:r w:rsidR="00A9130B" w:rsidRPr="002D240F">
              <w:rPr>
                <w:rFonts w:cs="Calibri"/>
                <w:lang w:val="bg"/>
              </w:rPr>
              <w:t xml:space="preserve"> от облаков тип</w:t>
            </w:r>
          </w:p>
          <w:p w14:paraId="5AF29C1B" w14:textId="1D41F132" w:rsidR="00AC5C9F" w:rsidRPr="002D240F" w:rsidRDefault="00AC5C9F" w:rsidP="00305C15">
            <w:pPr>
              <w:spacing w:after="120" w:line="240" w:lineRule="auto"/>
              <w:ind w:left="142"/>
              <w:jc w:val="both"/>
              <w:rPr>
                <w:rFonts w:cs="Calibri"/>
                <w:lang w:val="bg"/>
              </w:rPr>
            </w:pPr>
            <w:r w:rsidRPr="002D240F">
              <w:rPr>
                <w:rFonts w:cs="Calibri"/>
                <w:lang w:val="bg"/>
              </w:rPr>
              <w:t xml:space="preserve">С CRM, който използва изчисления в облак, известен също като SaaS (софтуер като услуга) или CRM по заявка, данните се съхраняват във външна, отдалечена мрежа, до която служителите имат достъп по всяко време, навсякъде, където има интернет връзка, понякога с доставчик </w:t>
            </w:r>
            <w:r w:rsidR="00660162" w:rsidRPr="002D240F">
              <w:rPr>
                <w:rFonts w:cs="Calibri"/>
                <w:lang w:val="bg"/>
              </w:rPr>
              <w:t>от</w:t>
            </w:r>
            <w:r w:rsidRPr="002D240F">
              <w:rPr>
                <w:rFonts w:cs="Calibri"/>
                <w:lang w:val="bg"/>
              </w:rPr>
              <w:t xml:space="preserve"> трети страни, </w:t>
            </w:r>
            <w:r w:rsidR="00F85A95" w:rsidRPr="002D240F">
              <w:rPr>
                <w:rFonts w:cs="Calibri"/>
                <w:lang w:val="bg"/>
              </w:rPr>
              <w:t>отговорен за</w:t>
            </w:r>
            <w:r w:rsidRPr="002D240F">
              <w:rPr>
                <w:rFonts w:cs="Calibri"/>
                <w:lang w:val="bg"/>
              </w:rPr>
              <w:t xml:space="preserve"> инсталирането и поддръжката. Бързите, сравнително лесни възможности за разполагане на</w:t>
            </w:r>
            <w:r w:rsidR="00F85A95" w:rsidRPr="002D240F">
              <w:rPr>
                <w:rFonts w:cs="Calibri"/>
                <w:lang w:val="bg"/>
              </w:rPr>
              <w:t xml:space="preserve"> услуги в</w:t>
            </w:r>
            <w:r w:rsidRPr="002D240F">
              <w:rPr>
                <w:rFonts w:cs="Calibri"/>
                <w:lang w:val="bg"/>
              </w:rPr>
              <w:t xml:space="preserve"> облака се отнасят до компании с ограничен технологичен </w:t>
            </w:r>
            <w:r w:rsidR="00F85A95" w:rsidRPr="002D240F">
              <w:rPr>
                <w:rFonts w:cs="Calibri"/>
                <w:lang w:val="bg"/>
              </w:rPr>
              <w:t xml:space="preserve">и </w:t>
            </w:r>
            <w:r w:rsidRPr="002D240F">
              <w:rPr>
                <w:rFonts w:cs="Calibri"/>
                <w:lang w:val="bg"/>
              </w:rPr>
              <w:t>експертен опит или ресурси.</w:t>
            </w:r>
          </w:p>
          <w:p w14:paraId="46204725" w14:textId="77777777" w:rsidR="00AC5C9F" w:rsidRPr="002D240F" w:rsidRDefault="00AC5C9F" w:rsidP="00305C15">
            <w:pPr>
              <w:spacing w:after="120" w:line="240" w:lineRule="auto"/>
              <w:ind w:left="142"/>
              <w:jc w:val="both"/>
              <w:rPr>
                <w:rFonts w:cs="Calibri"/>
                <w:lang w:val="bg"/>
              </w:rPr>
            </w:pPr>
          </w:p>
          <w:p w14:paraId="5F562B42" w14:textId="3DAEC27C" w:rsidR="00AC5C9F" w:rsidRPr="002D240F" w:rsidRDefault="00F85A95" w:rsidP="00305C15">
            <w:pPr>
              <w:numPr>
                <w:ilvl w:val="0"/>
                <w:numId w:val="23"/>
              </w:numPr>
              <w:spacing w:after="120" w:line="240" w:lineRule="auto"/>
              <w:jc w:val="both"/>
              <w:rPr>
                <w:rFonts w:cs="Calibri"/>
                <w:lang w:val="en-GB"/>
              </w:rPr>
            </w:pPr>
            <w:r w:rsidRPr="002D240F">
              <w:rPr>
                <w:rFonts w:cs="Calibri"/>
                <w:lang w:val="es-MX"/>
              </w:rPr>
              <w:t>In situ</w:t>
            </w:r>
            <w:r w:rsidR="00AC5C9F" w:rsidRPr="002D240F">
              <w:rPr>
                <w:rFonts w:cs="Calibri"/>
                <w:lang w:val="bg"/>
              </w:rPr>
              <w:t xml:space="preserve"> CRM</w:t>
            </w:r>
          </w:p>
          <w:p w14:paraId="4A2E1711" w14:textId="73E79205" w:rsidR="00321EE9" w:rsidRPr="002D240F" w:rsidRDefault="00AC5C9F" w:rsidP="00305C15">
            <w:pPr>
              <w:spacing w:after="120" w:line="240" w:lineRule="auto"/>
              <w:ind w:left="142"/>
              <w:jc w:val="both"/>
              <w:rPr>
                <w:rFonts w:cs="Calibri"/>
                <w:lang w:val="bg"/>
              </w:rPr>
            </w:pPr>
            <w:r w:rsidRPr="002D240F">
              <w:rPr>
                <w:rFonts w:cs="Calibri"/>
                <w:lang w:val="bg"/>
              </w:rPr>
              <w:t xml:space="preserve">С този подход компанията закупува лицензи предварително, вместо да купува годишни абонаменти от доставчик на </w:t>
            </w:r>
            <w:r w:rsidR="00F94B76" w:rsidRPr="002D240F">
              <w:rPr>
                <w:rFonts w:cs="Calibri"/>
                <w:lang w:val="bg"/>
              </w:rPr>
              <w:t>облаков</w:t>
            </w:r>
            <w:r w:rsidR="00D025AE" w:rsidRPr="002D240F">
              <w:rPr>
                <w:rFonts w:cs="Calibri"/>
                <w:lang w:val="bg"/>
              </w:rPr>
              <w:t>а система за</w:t>
            </w:r>
            <w:r w:rsidRPr="002D240F">
              <w:rPr>
                <w:rFonts w:cs="Calibri"/>
                <w:lang w:val="bg"/>
              </w:rPr>
              <w:t xml:space="preserve"> CRM. </w:t>
            </w:r>
          </w:p>
          <w:p w14:paraId="106B9CB0" w14:textId="77777777" w:rsidR="00D261BE" w:rsidRPr="002D240F" w:rsidRDefault="00D261BE" w:rsidP="00305C15">
            <w:pPr>
              <w:spacing w:after="120" w:line="240" w:lineRule="auto"/>
              <w:ind w:left="142"/>
              <w:jc w:val="both"/>
              <w:rPr>
                <w:rFonts w:cs="Calibri"/>
                <w:lang w:val="bg"/>
              </w:rPr>
            </w:pPr>
          </w:p>
          <w:p w14:paraId="02319EB0" w14:textId="77777777" w:rsidR="008369D4" w:rsidRPr="002D240F" w:rsidRDefault="008369D4" w:rsidP="00305C15">
            <w:pPr>
              <w:numPr>
                <w:ilvl w:val="0"/>
                <w:numId w:val="23"/>
              </w:numPr>
              <w:spacing w:after="120" w:line="240" w:lineRule="auto"/>
              <w:jc w:val="both"/>
              <w:rPr>
                <w:rFonts w:cs="Calibri"/>
                <w:lang w:val="en-US"/>
              </w:rPr>
            </w:pPr>
            <w:r w:rsidRPr="002D240F">
              <w:rPr>
                <w:rFonts w:cs="Calibri"/>
                <w:lang w:val="bg"/>
              </w:rPr>
              <w:t>CRM с отворен код</w:t>
            </w:r>
          </w:p>
          <w:p w14:paraId="44A17FA2" w14:textId="7AF28062" w:rsidR="008369D4" w:rsidRPr="002D240F" w:rsidRDefault="00D025AE" w:rsidP="00305C15">
            <w:pPr>
              <w:spacing w:after="120" w:line="240" w:lineRule="auto"/>
              <w:ind w:left="142"/>
              <w:jc w:val="both"/>
              <w:rPr>
                <w:rFonts w:cs="Calibri"/>
                <w:lang w:val="bg"/>
              </w:rPr>
            </w:pPr>
            <w:r w:rsidRPr="002D240F">
              <w:rPr>
                <w:rFonts w:cs="Calibri"/>
                <w:lang w:val="bg"/>
              </w:rPr>
              <w:t>С</w:t>
            </w:r>
            <w:r w:rsidR="008369D4" w:rsidRPr="002D240F">
              <w:rPr>
                <w:rFonts w:cs="Calibri"/>
                <w:lang w:val="bg"/>
              </w:rPr>
              <w:t xml:space="preserve">истема с отворен код </w:t>
            </w:r>
            <w:r w:rsidR="00D31E1B" w:rsidRPr="002D240F">
              <w:rPr>
                <w:rFonts w:cs="Calibri"/>
                <w:lang w:val="bg"/>
              </w:rPr>
              <w:t>с</w:t>
            </w:r>
            <w:r w:rsidR="008369D4" w:rsidRPr="002D240F">
              <w:rPr>
                <w:rFonts w:cs="Calibri"/>
                <w:lang w:val="bg"/>
              </w:rPr>
              <w:t xml:space="preserve"> достъпен за обществеността</w:t>
            </w:r>
            <w:r w:rsidR="009152D2" w:rsidRPr="002D240F">
              <w:rPr>
                <w:rFonts w:cs="Calibri"/>
                <w:lang w:val="bg"/>
              </w:rPr>
              <w:t xml:space="preserve"> </w:t>
            </w:r>
            <w:r w:rsidR="009152D2" w:rsidRPr="009152D2">
              <w:rPr>
                <w:rFonts w:cs="Calibri"/>
                <w:lang w:val="bg"/>
              </w:rPr>
              <w:t>изход</w:t>
            </w:r>
            <w:r w:rsidR="009152D2">
              <w:rPr>
                <w:rFonts w:cs="Calibri"/>
                <w:lang w:val="bg"/>
              </w:rPr>
              <w:t>ен</w:t>
            </w:r>
            <w:r w:rsidR="009152D2" w:rsidRPr="009152D2">
              <w:rPr>
                <w:rFonts w:cs="Calibri"/>
                <w:lang w:val="bg"/>
              </w:rPr>
              <w:t xml:space="preserve"> код</w:t>
            </w:r>
            <w:r w:rsidR="008369D4" w:rsidRPr="002D240F">
              <w:rPr>
                <w:rFonts w:cs="Calibri"/>
                <w:lang w:val="bg"/>
              </w:rPr>
              <w:t>, което дава възможност на фирмите да правят промени без разходи за фирмата, която наема системата. CRM системите с отворен код също така дават възможност за добавяне и персонализиране на връзки към данни в каналите на социалните медии, като подпомагат компаниите, които търсят подобряване на практиките в социалния CRM.</w:t>
            </w:r>
          </w:p>
          <w:p w14:paraId="5D2D8BEB" w14:textId="77777777" w:rsidR="008369D4" w:rsidRPr="002D240F" w:rsidRDefault="008369D4" w:rsidP="00305C15">
            <w:pPr>
              <w:spacing w:after="120" w:line="240" w:lineRule="auto"/>
              <w:ind w:left="142"/>
              <w:jc w:val="both"/>
              <w:rPr>
                <w:rFonts w:cs="Calibri"/>
                <w:lang w:val="bg"/>
              </w:rPr>
            </w:pPr>
          </w:p>
          <w:p w14:paraId="375D9322" w14:textId="77777777" w:rsidR="008369D4" w:rsidRPr="002D240F" w:rsidRDefault="008369D4" w:rsidP="00305C15">
            <w:pPr>
              <w:spacing w:after="120" w:line="240" w:lineRule="auto"/>
              <w:ind w:left="142"/>
              <w:jc w:val="both"/>
              <w:rPr>
                <w:rFonts w:cs="Calibri"/>
                <w:b/>
                <w:lang w:val="bg"/>
              </w:rPr>
            </w:pPr>
            <w:r w:rsidRPr="002D240F">
              <w:rPr>
                <w:rFonts w:cs="Calibri"/>
                <w:b/>
                <w:lang w:val="bg"/>
              </w:rPr>
              <w:lastRenderedPageBreak/>
              <w:t>CRM примери на практика</w:t>
            </w:r>
          </w:p>
          <w:p w14:paraId="5CD9D96D" w14:textId="77777777" w:rsidR="009418E9" w:rsidRPr="002D240F" w:rsidRDefault="008369D4" w:rsidP="00305C15">
            <w:pPr>
              <w:spacing w:after="120" w:line="240" w:lineRule="auto"/>
              <w:jc w:val="both"/>
              <w:rPr>
                <w:rFonts w:cs="Calibri"/>
                <w:lang w:val="bg"/>
              </w:rPr>
            </w:pPr>
            <w:r w:rsidRPr="002D240F">
              <w:rPr>
                <w:rFonts w:cs="Calibri"/>
                <w:lang w:val="bg"/>
              </w:rPr>
              <w:t>Примерите за използване на CRM варират според вида и целта на конкретната CRM система:</w:t>
            </w:r>
          </w:p>
          <w:p w14:paraId="68CD7490" w14:textId="2C77161F" w:rsidR="008369D4" w:rsidRPr="002D240F" w:rsidRDefault="000231CF" w:rsidP="00305C15">
            <w:pPr>
              <w:numPr>
                <w:ilvl w:val="0"/>
                <w:numId w:val="24"/>
              </w:numPr>
              <w:spacing w:after="120" w:line="240" w:lineRule="auto"/>
              <w:jc w:val="both"/>
              <w:rPr>
                <w:rFonts w:cs="Calibri"/>
                <w:lang w:val="en-US"/>
              </w:rPr>
            </w:pPr>
            <w:r w:rsidRPr="002D240F">
              <w:rPr>
                <w:rFonts w:cs="Calibri"/>
                <w:lang w:val="bg"/>
              </w:rPr>
              <w:t>Контактен център</w:t>
            </w:r>
          </w:p>
          <w:p w14:paraId="4D59438B" w14:textId="3AE64EEA" w:rsidR="008369D4" w:rsidRPr="002D240F" w:rsidRDefault="008369D4" w:rsidP="00305C15">
            <w:pPr>
              <w:numPr>
                <w:ilvl w:val="0"/>
                <w:numId w:val="24"/>
              </w:numPr>
              <w:spacing w:after="120" w:line="240" w:lineRule="auto"/>
              <w:jc w:val="both"/>
              <w:rPr>
                <w:rFonts w:cs="Calibri"/>
                <w:lang w:val="en-US"/>
              </w:rPr>
            </w:pPr>
            <w:r w:rsidRPr="002D240F">
              <w:rPr>
                <w:rFonts w:cs="Calibri"/>
                <w:lang w:val="bg"/>
              </w:rPr>
              <w:t>Социален CRM</w:t>
            </w:r>
          </w:p>
          <w:p w14:paraId="566E6001" w14:textId="77777777" w:rsidR="008369D4" w:rsidRPr="002D240F" w:rsidRDefault="008369D4" w:rsidP="00305C15">
            <w:pPr>
              <w:numPr>
                <w:ilvl w:val="0"/>
                <w:numId w:val="24"/>
              </w:numPr>
              <w:spacing w:after="120" w:line="240" w:lineRule="auto"/>
              <w:jc w:val="both"/>
              <w:rPr>
                <w:rFonts w:cs="Calibri"/>
                <w:lang w:val="en-US"/>
              </w:rPr>
            </w:pPr>
            <w:r w:rsidRPr="002D240F">
              <w:rPr>
                <w:rFonts w:cs="Calibri"/>
                <w:lang w:val="bg"/>
              </w:rPr>
              <w:t>Мобилен CRM</w:t>
            </w:r>
          </w:p>
          <w:p w14:paraId="0CF47BF7" w14:textId="77777777" w:rsidR="008369D4" w:rsidRPr="002D240F" w:rsidRDefault="008369D4" w:rsidP="00305C15">
            <w:pPr>
              <w:numPr>
                <w:ilvl w:val="0"/>
                <w:numId w:val="24"/>
              </w:numPr>
              <w:spacing w:after="120" w:line="240" w:lineRule="auto"/>
              <w:jc w:val="both"/>
              <w:rPr>
                <w:rFonts w:cs="Calibri"/>
                <w:lang w:val="en-US"/>
              </w:rPr>
            </w:pPr>
            <w:r w:rsidRPr="002D240F">
              <w:rPr>
                <w:rFonts w:cs="Calibri"/>
                <w:lang w:val="bg"/>
              </w:rPr>
              <w:t>Практики от бизнес към бизнес (B2B)</w:t>
            </w:r>
          </w:p>
          <w:p w14:paraId="4F1A1984" w14:textId="77777777" w:rsidR="008369D4" w:rsidRPr="002D240F" w:rsidRDefault="008369D4" w:rsidP="00305C15">
            <w:pPr>
              <w:spacing w:after="120" w:line="240" w:lineRule="auto"/>
              <w:ind w:left="142"/>
              <w:jc w:val="both"/>
              <w:rPr>
                <w:rFonts w:cs="Calibri"/>
                <w:lang w:val="en-US"/>
              </w:rPr>
            </w:pPr>
          </w:p>
          <w:p w14:paraId="3751CBB3" w14:textId="77777777" w:rsidR="008369D4" w:rsidRPr="002D240F" w:rsidRDefault="008369D4" w:rsidP="00305C15">
            <w:pPr>
              <w:spacing w:after="120" w:line="240" w:lineRule="auto"/>
              <w:ind w:left="142"/>
              <w:jc w:val="both"/>
              <w:rPr>
                <w:rFonts w:cs="Calibri"/>
                <w:b/>
                <w:lang w:val="en-US"/>
              </w:rPr>
            </w:pPr>
            <w:r w:rsidRPr="002D240F">
              <w:rPr>
                <w:rFonts w:cs="Calibri"/>
                <w:b/>
                <w:lang w:val="bg"/>
              </w:rPr>
              <w:t>CRM предизвикателства</w:t>
            </w:r>
          </w:p>
          <w:p w14:paraId="58005756" w14:textId="40F8CC72" w:rsidR="008369D4" w:rsidRPr="002D240F" w:rsidRDefault="00EF2403" w:rsidP="00305C15">
            <w:pPr>
              <w:spacing w:after="120" w:line="240" w:lineRule="auto"/>
              <w:ind w:left="142"/>
              <w:jc w:val="both"/>
              <w:rPr>
                <w:rFonts w:cs="Calibri"/>
                <w:lang w:val="bg"/>
              </w:rPr>
            </w:pPr>
            <w:r w:rsidRPr="002D240F">
              <w:rPr>
                <w:rFonts w:cs="Calibri"/>
                <w:lang w:val="bg"/>
              </w:rPr>
              <w:t>В</w:t>
            </w:r>
            <w:r w:rsidR="008369D4" w:rsidRPr="002D240F">
              <w:rPr>
                <w:rFonts w:cs="Calibri"/>
                <w:lang w:val="bg"/>
              </w:rPr>
              <w:t xml:space="preserve">сички постижения </w:t>
            </w:r>
            <w:r w:rsidRPr="002D240F">
              <w:rPr>
                <w:rFonts w:cs="Calibri"/>
                <w:lang w:val="bg"/>
              </w:rPr>
              <w:t>на</w:t>
            </w:r>
            <w:r w:rsidR="008369D4" w:rsidRPr="002D240F">
              <w:rPr>
                <w:rFonts w:cs="Calibri"/>
                <w:lang w:val="bg"/>
              </w:rPr>
              <w:t xml:space="preserve"> CRM технологията, без правилно управление, </w:t>
            </w:r>
            <w:r w:rsidRPr="002D240F">
              <w:rPr>
                <w:rFonts w:cs="Calibri"/>
                <w:lang w:val="bg"/>
              </w:rPr>
              <w:t xml:space="preserve">ще доведат до това </w:t>
            </w:r>
            <w:r w:rsidR="008369D4" w:rsidRPr="002D240F">
              <w:rPr>
                <w:rFonts w:cs="Calibri"/>
                <w:lang w:val="bg"/>
              </w:rPr>
              <w:t>CRM система</w:t>
            </w:r>
            <w:r w:rsidRPr="002D240F">
              <w:rPr>
                <w:rFonts w:cs="Calibri"/>
                <w:lang w:val="bg"/>
              </w:rPr>
              <w:t>та да</w:t>
            </w:r>
            <w:r w:rsidR="008369D4" w:rsidRPr="002D240F">
              <w:rPr>
                <w:rFonts w:cs="Calibri"/>
                <w:lang w:val="bg"/>
              </w:rPr>
              <w:t xml:space="preserve"> може да </w:t>
            </w:r>
            <w:r w:rsidRPr="002D240F">
              <w:rPr>
                <w:rFonts w:cs="Calibri"/>
                <w:lang w:val="bg"/>
              </w:rPr>
              <w:t>се</w:t>
            </w:r>
            <w:r w:rsidR="008369D4" w:rsidRPr="002D240F">
              <w:rPr>
                <w:rFonts w:cs="Calibri"/>
                <w:lang w:val="bg"/>
              </w:rPr>
              <w:t xml:space="preserve"> прослав</w:t>
            </w:r>
            <w:r w:rsidRPr="002D240F">
              <w:rPr>
                <w:rFonts w:cs="Calibri"/>
                <w:lang w:val="bg"/>
              </w:rPr>
              <w:t>и като</w:t>
            </w:r>
            <w:r w:rsidR="008369D4" w:rsidRPr="002D240F">
              <w:rPr>
                <w:rFonts w:cs="Calibri"/>
                <w:lang w:val="bg"/>
              </w:rPr>
              <w:t xml:space="preserve"> база данни, в която се съхранява </w:t>
            </w:r>
            <w:r w:rsidR="001317D9" w:rsidRPr="002D240F">
              <w:rPr>
                <w:rFonts w:cs="Calibri"/>
                <w:lang w:val="bg"/>
              </w:rPr>
              <w:t xml:space="preserve">някаква </w:t>
            </w:r>
            <w:r w:rsidR="008369D4" w:rsidRPr="002D240F">
              <w:rPr>
                <w:rFonts w:cs="Calibri"/>
                <w:lang w:val="bg"/>
              </w:rPr>
              <w:t xml:space="preserve">информация за клиента. </w:t>
            </w:r>
            <w:r w:rsidR="001317D9" w:rsidRPr="002D240F">
              <w:rPr>
                <w:rFonts w:cs="Calibri"/>
                <w:lang w:val="bg"/>
              </w:rPr>
              <w:t>Д</w:t>
            </w:r>
            <w:r w:rsidR="008369D4" w:rsidRPr="002D240F">
              <w:rPr>
                <w:rFonts w:cs="Calibri"/>
                <w:lang w:val="bg"/>
              </w:rPr>
              <w:t>анни</w:t>
            </w:r>
            <w:r w:rsidR="001317D9" w:rsidRPr="002D240F">
              <w:rPr>
                <w:rFonts w:cs="Calibri"/>
                <w:lang w:val="bg"/>
              </w:rPr>
              <w:t>те</w:t>
            </w:r>
            <w:r w:rsidR="008369D4" w:rsidRPr="002D240F">
              <w:rPr>
                <w:rFonts w:cs="Calibri"/>
                <w:lang w:val="bg"/>
              </w:rPr>
              <w:t xml:space="preserve"> трябва да бъдат свързани, разпределени и организирани, така че потребителите да имат лесен достъп до информацията, от която се нуждаят.</w:t>
            </w:r>
          </w:p>
          <w:p w14:paraId="0710CE24" w14:textId="1BDD1BD9" w:rsidR="008369D4" w:rsidRPr="002D240F" w:rsidRDefault="008369D4" w:rsidP="00305C15">
            <w:pPr>
              <w:spacing w:after="120" w:line="240" w:lineRule="auto"/>
              <w:ind w:left="142"/>
              <w:jc w:val="both"/>
              <w:rPr>
                <w:rFonts w:cs="Calibri"/>
                <w:lang w:val="bg"/>
              </w:rPr>
            </w:pPr>
            <w:r w:rsidRPr="002D240F">
              <w:rPr>
                <w:rFonts w:cs="Calibri"/>
                <w:lang w:val="bg"/>
              </w:rPr>
              <w:t xml:space="preserve">Фирмите могат да се затрудняват да </w:t>
            </w:r>
            <w:r w:rsidR="00EE7B97" w:rsidRPr="002D240F">
              <w:rPr>
                <w:rFonts w:cs="Calibri"/>
                <w:lang w:val="bg"/>
              </w:rPr>
              <w:t>скицират</w:t>
            </w:r>
            <w:r w:rsidRPr="002D240F">
              <w:rPr>
                <w:rFonts w:cs="Calibri"/>
                <w:lang w:val="bg"/>
              </w:rPr>
              <w:t xml:space="preserve"> единен </w:t>
            </w:r>
            <w:r w:rsidR="00B55E86" w:rsidRPr="002D240F">
              <w:rPr>
                <w:rFonts w:cs="Calibri"/>
                <w:lang w:val="bg"/>
              </w:rPr>
              <w:t>профил</w:t>
            </w:r>
            <w:r w:rsidRPr="002D240F">
              <w:rPr>
                <w:rFonts w:cs="Calibri"/>
                <w:lang w:val="bg"/>
              </w:rPr>
              <w:t xml:space="preserve"> на клиента, ако техните данни не са свързани и организирани в едно табло или интерфейс. Предизвикателства възникват и когато системите съдържат дублирани данни за клиенти или </w:t>
            </w:r>
            <w:r w:rsidR="00407C1F" w:rsidRPr="002D240F">
              <w:rPr>
                <w:rFonts w:cs="Calibri"/>
                <w:lang w:val="bg"/>
              </w:rPr>
              <w:t>има липсваща</w:t>
            </w:r>
            <w:r w:rsidRPr="002D240F">
              <w:rPr>
                <w:rFonts w:cs="Calibri"/>
                <w:lang w:val="bg"/>
              </w:rPr>
              <w:t xml:space="preserve"> информация. Тези проблеми могат да доведат до </w:t>
            </w:r>
            <w:r w:rsidR="00AD0774" w:rsidRPr="002D240F">
              <w:rPr>
                <w:rFonts w:cs="Calibri"/>
                <w:lang w:val="bg"/>
              </w:rPr>
              <w:t>влошено обслужване н</w:t>
            </w:r>
            <w:r w:rsidRPr="002D240F">
              <w:rPr>
                <w:rFonts w:cs="Calibri"/>
                <w:lang w:val="bg"/>
              </w:rPr>
              <w:t>а клиентите поради дългото време на изчакване по време на телефонни разговори, неправилното боравене със случаите на техническа поддръжка и други проблеми.</w:t>
            </w:r>
          </w:p>
          <w:p w14:paraId="5B1537A0" w14:textId="75923524" w:rsidR="00107192" w:rsidRPr="002D240F" w:rsidRDefault="008369D4" w:rsidP="00305C15">
            <w:pPr>
              <w:spacing w:after="120" w:line="240" w:lineRule="auto"/>
              <w:ind w:left="142"/>
              <w:jc w:val="both"/>
              <w:rPr>
                <w:rFonts w:cs="Calibri"/>
                <w:lang w:val="bg"/>
              </w:rPr>
            </w:pPr>
            <w:r w:rsidRPr="002D240F">
              <w:rPr>
                <w:rFonts w:cs="Calibri"/>
                <w:lang w:val="bg"/>
              </w:rPr>
              <w:t xml:space="preserve">CRM системите работят най-добре, когато компаниите прекарват времето си в </w:t>
            </w:r>
            <w:r w:rsidR="007927D6" w:rsidRPr="002D240F">
              <w:rPr>
                <w:rFonts w:cs="Calibri"/>
                <w:lang w:val="bg"/>
              </w:rPr>
              <w:t>реорганизиране</w:t>
            </w:r>
            <w:r w:rsidRPr="002D240F">
              <w:rPr>
                <w:rFonts w:cs="Calibri"/>
                <w:lang w:val="bg"/>
              </w:rPr>
              <w:t xml:space="preserve"> на съществуващите си клиентски данни за премахване на дублирани и непълни записи, преди да допълнят CRM данните с външни източници на информация.</w:t>
            </w:r>
          </w:p>
          <w:p w14:paraId="6682F127" w14:textId="77777777" w:rsidR="00F744BD" w:rsidRPr="002D240F" w:rsidRDefault="00F744BD" w:rsidP="00305C15">
            <w:pPr>
              <w:spacing w:after="120" w:line="240" w:lineRule="auto"/>
              <w:ind w:left="142"/>
              <w:jc w:val="both"/>
              <w:rPr>
                <w:rFonts w:cs="Calibri"/>
                <w:lang w:val="bg"/>
              </w:rPr>
            </w:pPr>
          </w:p>
          <w:p w14:paraId="50606FCB" w14:textId="04188483" w:rsidR="00517970" w:rsidRPr="002D240F" w:rsidRDefault="00517970" w:rsidP="00305C15">
            <w:pPr>
              <w:pStyle w:val="Ttulo2"/>
              <w:numPr>
                <w:ilvl w:val="1"/>
                <w:numId w:val="29"/>
              </w:numPr>
              <w:jc w:val="both"/>
              <w:rPr>
                <w:rFonts w:ascii="Calibri" w:hAnsi="Calibri" w:cs="Calibri"/>
                <w:sz w:val="22"/>
                <w:szCs w:val="22"/>
                <w:lang w:val="bg"/>
              </w:rPr>
            </w:pPr>
            <w:bookmarkStart w:id="10" w:name="_Toc92359755"/>
            <w:r w:rsidRPr="002D240F">
              <w:rPr>
                <w:rFonts w:ascii="Calibri" w:hAnsi="Calibri" w:cs="Calibri"/>
                <w:sz w:val="22"/>
                <w:szCs w:val="22"/>
                <w:lang w:val="bg"/>
              </w:rPr>
              <w:t>Управление на експор</w:t>
            </w:r>
            <w:bookmarkEnd w:id="10"/>
            <w:r w:rsidR="007927D6" w:rsidRPr="002D240F">
              <w:rPr>
                <w:rFonts w:ascii="Calibri" w:hAnsi="Calibri" w:cs="Calibri"/>
                <w:sz w:val="22"/>
                <w:szCs w:val="22"/>
                <w:lang w:val="bg"/>
              </w:rPr>
              <w:t>та</w:t>
            </w:r>
          </w:p>
          <w:p w14:paraId="1EADA95F" w14:textId="04510AB4" w:rsidR="00517970" w:rsidRPr="002D240F" w:rsidRDefault="00116CBB" w:rsidP="00305C15">
            <w:pPr>
              <w:pStyle w:val="Ttulo3"/>
              <w:numPr>
                <w:ilvl w:val="2"/>
                <w:numId w:val="29"/>
              </w:numPr>
              <w:jc w:val="both"/>
              <w:rPr>
                <w:rFonts w:ascii="Calibri" w:hAnsi="Calibri" w:cs="Calibri"/>
                <w:sz w:val="22"/>
                <w:szCs w:val="22"/>
                <w:lang w:val="en-GB"/>
              </w:rPr>
            </w:pPr>
            <w:bookmarkStart w:id="11" w:name="_Toc92359756"/>
            <w:r w:rsidRPr="002D240F">
              <w:rPr>
                <w:rFonts w:ascii="Calibri" w:hAnsi="Calibri" w:cs="Calibri"/>
                <w:sz w:val="22"/>
                <w:szCs w:val="22"/>
                <w:lang w:val="bg"/>
              </w:rPr>
              <w:t>Обща информация</w:t>
            </w:r>
            <w:bookmarkEnd w:id="11"/>
          </w:p>
          <w:p w14:paraId="07476733" w14:textId="0930F730" w:rsidR="00517970" w:rsidRPr="002D240F" w:rsidRDefault="00517970" w:rsidP="00305C15">
            <w:pPr>
              <w:numPr>
                <w:ilvl w:val="3"/>
                <w:numId w:val="29"/>
              </w:numPr>
              <w:spacing w:after="120" w:line="240" w:lineRule="auto"/>
              <w:ind w:left="567" w:hanging="425"/>
              <w:jc w:val="both"/>
              <w:rPr>
                <w:rFonts w:cs="Calibri"/>
                <w:lang w:val="en-GB"/>
              </w:rPr>
            </w:pPr>
            <w:r w:rsidRPr="002D240F">
              <w:rPr>
                <w:rFonts w:cs="Calibri"/>
                <w:lang w:val="bg"/>
              </w:rPr>
              <w:t>Съдържание:</w:t>
            </w:r>
          </w:p>
          <w:p w14:paraId="7D05C6D1" w14:textId="3032EBE8" w:rsidR="001A1C65" w:rsidRPr="002D240F" w:rsidRDefault="001A1C65" w:rsidP="00305C15">
            <w:pPr>
              <w:spacing w:after="120" w:line="240" w:lineRule="auto"/>
              <w:ind w:left="142"/>
              <w:jc w:val="both"/>
              <w:rPr>
                <w:rFonts w:cs="Calibri"/>
                <w:lang w:val="bg"/>
              </w:rPr>
            </w:pPr>
            <w:r w:rsidRPr="002D240F">
              <w:rPr>
                <w:rFonts w:cs="Calibri"/>
                <w:lang w:val="bg"/>
              </w:rPr>
              <w:t xml:space="preserve">Управлението на износа означава провеждане на експортната дейност по подреден, ефикасен и печеливш начин. Износът предоставя няколко ползи за износителя и </w:t>
            </w:r>
            <w:r w:rsidR="005723BF" w:rsidRPr="002D240F">
              <w:rPr>
                <w:rFonts w:cs="Calibri"/>
                <w:lang w:val="bg"/>
              </w:rPr>
              <w:t>н</w:t>
            </w:r>
            <w:r w:rsidRPr="002D240F">
              <w:rPr>
                <w:rFonts w:cs="Calibri"/>
                <w:lang w:val="bg"/>
              </w:rPr>
              <w:t xml:space="preserve">ацията. Износът е от съществено значение за </w:t>
            </w:r>
            <w:r w:rsidR="005723BF" w:rsidRPr="002D240F">
              <w:rPr>
                <w:rFonts w:cs="Calibri"/>
                <w:lang w:val="bg"/>
              </w:rPr>
              <w:t>н</w:t>
            </w:r>
            <w:r w:rsidRPr="002D240F">
              <w:rPr>
                <w:rFonts w:cs="Calibri"/>
                <w:lang w:val="bg"/>
              </w:rPr>
              <w:t xml:space="preserve">ацията за: </w:t>
            </w:r>
            <w:r w:rsidR="005723BF" w:rsidRPr="002D240F">
              <w:rPr>
                <w:rFonts w:cs="Calibri"/>
                <w:lang w:val="bg"/>
              </w:rPr>
              <w:t>п</w:t>
            </w:r>
            <w:r w:rsidRPr="002D240F">
              <w:rPr>
                <w:rFonts w:cs="Calibri"/>
                <w:lang w:val="bg"/>
              </w:rPr>
              <w:t>ечелене на валут</w:t>
            </w:r>
            <w:r w:rsidR="005723BF" w:rsidRPr="002D240F">
              <w:rPr>
                <w:rFonts w:cs="Calibri"/>
                <w:lang w:val="bg"/>
              </w:rPr>
              <w:t>а</w:t>
            </w:r>
            <w:r w:rsidRPr="002D240F">
              <w:rPr>
                <w:rFonts w:cs="Calibri"/>
                <w:lang w:val="bg"/>
              </w:rPr>
              <w:t xml:space="preserve">, развиване на международни отношения, </w:t>
            </w:r>
            <w:r w:rsidR="00000C5B" w:rsidRPr="002D240F">
              <w:rPr>
                <w:rFonts w:cs="Calibri"/>
                <w:lang w:val="bg"/>
              </w:rPr>
              <w:t xml:space="preserve">поддържане на </w:t>
            </w:r>
            <w:r w:rsidR="005723BF" w:rsidRPr="002D240F">
              <w:rPr>
                <w:rFonts w:cs="Calibri"/>
                <w:lang w:val="bg"/>
              </w:rPr>
              <w:t>п</w:t>
            </w:r>
            <w:r w:rsidRPr="002D240F">
              <w:rPr>
                <w:rFonts w:cs="Calibri"/>
                <w:lang w:val="bg"/>
              </w:rPr>
              <w:t xml:space="preserve">латежен баланс, репутация, заетост, научноизследователска и развойна дейност, регионално развитие, оптимално използване на ресурсите, стандарт на живот, икономически растеж и др. Износът е от съществено значение на бизнес ниво също за: увеличава производствения капацитет, подобряване на организационната ефективност, по-висока печалба, репутация и добра воля, голям мащаб на </w:t>
            </w:r>
            <w:r w:rsidRPr="002D240F">
              <w:rPr>
                <w:rFonts w:cs="Calibri"/>
                <w:lang w:val="bg"/>
              </w:rPr>
              <w:lastRenderedPageBreak/>
              <w:t>производство и дистрибуция, техническо повишаване на градацията, разпространение на маркетингови рискове, получаване на правителствени стимули и др.</w:t>
            </w:r>
          </w:p>
          <w:p w14:paraId="27DF39ED" w14:textId="76CF8F70" w:rsidR="001A1C65" w:rsidRPr="002D240F" w:rsidRDefault="001A1C65" w:rsidP="00305C15">
            <w:pPr>
              <w:spacing w:after="120" w:line="240" w:lineRule="auto"/>
              <w:ind w:left="142"/>
              <w:jc w:val="both"/>
              <w:rPr>
                <w:rFonts w:cs="Calibri"/>
                <w:lang w:val="bg"/>
              </w:rPr>
            </w:pPr>
            <w:r w:rsidRPr="002D240F">
              <w:rPr>
                <w:rFonts w:cs="Calibri"/>
                <w:lang w:val="bg"/>
              </w:rPr>
              <w:t xml:space="preserve">Основните характеристики на управлението на износа са: мащабни операции, </w:t>
            </w:r>
            <w:r w:rsidR="00BB44D9" w:rsidRPr="002D240F">
              <w:rPr>
                <w:rFonts w:cs="Calibri"/>
                <w:lang w:val="bg"/>
              </w:rPr>
              <w:t>с</w:t>
            </w:r>
            <w:r w:rsidRPr="002D240F">
              <w:rPr>
                <w:rFonts w:cs="Calibri"/>
                <w:lang w:val="bg"/>
              </w:rPr>
              <w:t>истематичен процес, конкурен</w:t>
            </w:r>
            <w:r w:rsidR="007C20F8" w:rsidRPr="002D240F">
              <w:rPr>
                <w:rFonts w:cs="Calibri"/>
                <w:lang w:val="bg"/>
              </w:rPr>
              <w:t>тноспособност</w:t>
            </w:r>
            <w:r w:rsidRPr="002D240F">
              <w:rPr>
                <w:rFonts w:cs="Calibri"/>
                <w:lang w:val="bg"/>
              </w:rPr>
              <w:t xml:space="preserve">, търговски бариери, господство на </w:t>
            </w:r>
            <w:r w:rsidR="00365F0C" w:rsidRPr="002D240F">
              <w:rPr>
                <w:rFonts w:cs="Calibri"/>
                <w:lang w:val="bg"/>
              </w:rPr>
              <w:t>мултинационалните корпорации</w:t>
            </w:r>
            <w:r w:rsidRPr="002D240F">
              <w:rPr>
                <w:rFonts w:cs="Calibri"/>
                <w:lang w:val="bg"/>
              </w:rPr>
              <w:t xml:space="preserve">, господство на развитите страни, валутна регулация, различни </w:t>
            </w:r>
            <w:r w:rsidR="002B733F" w:rsidRPr="002D240F">
              <w:rPr>
                <w:rFonts w:cs="Calibri"/>
                <w:lang w:val="bg"/>
              </w:rPr>
              <w:t xml:space="preserve">документални </w:t>
            </w:r>
            <w:r w:rsidRPr="002D240F">
              <w:rPr>
                <w:rFonts w:cs="Calibri"/>
                <w:lang w:val="bg"/>
              </w:rPr>
              <w:t>формалности, десен маркетинг микс, международни изследвания, авансови технологии, глобализира</w:t>
            </w:r>
            <w:r w:rsidR="004B48FE" w:rsidRPr="002D240F">
              <w:rPr>
                <w:rFonts w:cs="Calibri"/>
                <w:lang w:val="bg"/>
              </w:rPr>
              <w:t>не</w:t>
            </w:r>
            <w:r w:rsidRPr="002D240F">
              <w:rPr>
                <w:rFonts w:cs="Calibri"/>
                <w:lang w:val="bg"/>
              </w:rPr>
              <w:t>, разнообразни обичаи и традиции, висок размер на риска и т.н.</w:t>
            </w:r>
          </w:p>
          <w:p w14:paraId="281719D5" w14:textId="75B2CC64" w:rsidR="001A1C65" w:rsidRPr="002D240F" w:rsidRDefault="001A1C65" w:rsidP="00305C15">
            <w:pPr>
              <w:spacing w:after="120" w:line="240" w:lineRule="auto"/>
              <w:ind w:left="142"/>
              <w:jc w:val="both"/>
              <w:rPr>
                <w:rFonts w:cs="Calibri"/>
                <w:lang w:val="bg"/>
              </w:rPr>
            </w:pPr>
            <w:r w:rsidRPr="002D240F">
              <w:rPr>
                <w:rFonts w:cs="Calibri"/>
                <w:lang w:val="bg"/>
              </w:rPr>
              <w:t xml:space="preserve">Има различни структури </w:t>
            </w:r>
            <w:r w:rsidR="00E5252F" w:rsidRPr="002D240F">
              <w:rPr>
                <w:rFonts w:cs="Calibri"/>
                <w:lang w:val="bg"/>
              </w:rPr>
              <w:t xml:space="preserve">в рамките </w:t>
            </w:r>
            <w:r w:rsidRPr="002D240F">
              <w:rPr>
                <w:rFonts w:cs="Calibri"/>
                <w:lang w:val="bg"/>
              </w:rPr>
              <w:t>на</w:t>
            </w:r>
            <w:r w:rsidR="00E5252F" w:rsidRPr="002D240F">
              <w:rPr>
                <w:rFonts w:cs="Calibri"/>
                <w:lang w:val="bg"/>
              </w:rPr>
              <w:t xml:space="preserve"> една</w:t>
            </w:r>
            <w:r w:rsidRPr="002D240F">
              <w:rPr>
                <w:rFonts w:cs="Calibri"/>
                <w:lang w:val="bg"/>
              </w:rPr>
              <w:t xml:space="preserve"> организация като</w:t>
            </w:r>
            <w:r w:rsidR="00E5252F" w:rsidRPr="002D240F">
              <w:rPr>
                <w:rFonts w:cs="Calibri"/>
                <w:lang w:val="bg"/>
              </w:rPr>
              <w:t>:</w:t>
            </w:r>
            <w:r w:rsidRPr="002D240F">
              <w:rPr>
                <w:rFonts w:cs="Calibri"/>
                <w:lang w:val="bg"/>
              </w:rPr>
              <w:t xml:space="preserve"> отдел за износ, </w:t>
            </w:r>
            <w:r w:rsidR="00E5252F" w:rsidRPr="002D240F">
              <w:rPr>
                <w:rFonts w:cs="Calibri"/>
                <w:lang w:val="bg"/>
              </w:rPr>
              <w:t>н</w:t>
            </w:r>
            <w:r w:rsidRPr="002D240F">
              <w:rPr>
                <w:rFonts w:cs="Calibri"/>
                <w:lang w:val="bg"/>
              </w:rPr>
              <w:t xml:space="preserve">езависимо експортно подразделение, </w:t>
            </w:r>
            <w:r w:rsidR="00E5252F" w:rsidRPr="002D240F">
              <w:rPr>
                <w:rFonts w:cs="Calibri"/>
                <w:lang w:val="bg"/>
              </w:rPr>
              <w:t>е</w:t>
            </w:r>
            <w:r w:rsidRPr="002D240F">
              <w:rPr>
                <w:rFonts w:cs="Calibri"/>
                <w:lang w:val="bg"/>
              </w:rPr>
              <w:t xml:space="preserve">кспортни дъщерни дружества на няколко пазара, </w:t>
            </w:r>
            <w:r w:rsidR="00E5252F" w:rsidRPr="002D240F">
              <w:rPr>
                <w:rFonts w:cs="Calibri"/>
                <w:lang w:val="bg"/>
              </w:rPr>
              <w:t>е</w:t>
            </w:r>
            <w:r w:rsidRPr="002D240F">
              <w:rPr>
                <w:rFonts w:cs="Calibri"/>
                <w:lang w:val="bg"/>
              </w:rPr>
              <w:t xml:space="preserve">кспортни дъщерни дружества в страната на </w:t>
            </w:r>
            <w:r w:rsidR="00A26B64" w:rsidRPr="002D240F">
              <w:rPr>
                <w:rFonts w:cs="Calibri"/>
                <w:lang w:val="bg"/>
              </w:rPr>
              <w:t>в</w:t>
            </w:r>
            <w:r w:rsidRPr="002D240F">
              <w:rPr>
                <w:rFonts w:cs="Calibri"/>
                <w:lang w:val="bg"/>
              </w:rPr>
              <w:t xml:space="preserve">носителя, </w:t>
            </w:r>
            <w:r w:rsidR="00A26B64" w:rsidRPr="002D240F">
              <w:rPr>
                <w:rFonts w:cs="Calibri"/>
                <w:lang w:val="bg"/>
              </w:rPr>
              <w:t>г</w:t>
            </w:r>
            <w:r w:rsidRPr="002D240F">
              <w:rPr>
                <w:rFonts w:cs="Calibri"/>
                <w:lang w:val="bg"/>
              </w:rPr>
              <w:t xml:space="preserve">еографска структура на </w:t>
            </w:r>
            <w:r w:rsidR="00A26B64" w:rsidRPr="002D240F">
              <w:rPr>
                <w:rFonts w:cs="Calibri"/>
                <w:lang w:val="bg"/>
              </w:rPr>
              <w:t>е</w:t>
            </w:r>
            <w:r w:rsidRPr="002D240F">
              <w:rPr>
                <w:rFonts w:cs="Calibri"/>
                <w:lang w:val="bg"/>
              </w:rPr>
              <w:t>кспортна</w:t>
            </w:r>
            <w:r w:rsidR="00A26B64" w:rsidRPr="002D240F">
              <w:rPr>
                <w:rFonts w:cs="Calibri"/>
                <w:lang w:val="bg"/>
              </w:rPr>
              <w:t>та</w:t>
            </w:r>
            <w:r w:rsidRPr="002D240F">
              <w:rPr>
                <w:rFonts w:cs="Calibri"/>
                <w:lang w:val="bg"/>
              </w:rPr>
              <w:t xml:space="preserve"> организация, </w:t>
            </w:r>
            <w:r w:rsidR="00A26B64" w:rsidRPr="002D240F">
              <w:rPr>
                <w:rFonts w:cs="Calibri"/>
                <w:lang w:val="bg"/>
              </w:rPr>
              <w:t>организационна с</w:t>
            </w:r>
            <w:r w:rsidRPr="002D240F">
              <w:rPr>
                <w:rFonts w:cs="Calibri"/>
                <w:lang w:val="bg"/>
              </w:rPr>
              <w:t>труктура на продуктите.</w:t>
            </w:r>
          </w:p>
          <w:p w14:paraId="594EC028" w14:textId="338F5E55" w:rsidR="00C333EE" w:rsidRPr="002D240F" w:rsidRDefault="00C333EE" w:rsidP="00305C15">
            <w:pPr>
              <w:spacing w:after="120" w:line="240" w:lineRule="auto"/>
              <w:jc w:val="both"/>
              <w:rPr>
                <w:rFonts w:cs="Calibri"/>
                <w:lang w:val="bg-BG"/>
              </w:rPr>
            </w:pPr>
          </w:p>
        </w:tc>
      </w:tr>
      <w:tr w:rsidR="00A42170" w:rsidRPr="00305C15" w14:paraId="658EEAE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EEEADD0" w14:textId="4425DA04" w:rsidR="00A42170" w:rsidRPr="0086112C" w:rsidRDefault="00A26B64" w:rsidP="00305C15">
            <w:pPr>
              <w:ind w:left="567" w:hanging="425"/>
              <w:jc w:val="both"/>
              <w:rPr>
                <w:rFonts w:ascii="Calibri Light" w:hAnsi="Calibri Light" w:cs="Calibri Light"/>
                <w:b/>
                <w:color w:val="FFFFFF"/>
              </w:rPr>
            </w:pPr>
            <w:r>
              <w:rPr>
                <w:b/>
                <w:color w:val="FFFFFF"/>
                <w:lang w:val="bg"/>
              </w:rPr>
              <w:lastRenderedPageBreak/>
              <w:t>План-конспект</w:t>
            </w:r>
          </w:p>
        </w:tc>
      </w:tr>
      <w:tr w:rsidR="00A42170" w:rsidRPr="00305C15" w14:paraId="03CD33FF" w14:textId="77777777" w:rsidTr="00B43C8E">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B72ED53" w14:textId="0C0D9BF1" w:rsidR="009205D9" w:rsidRPr="00305C15" w:rsidRDefault="009205D9" w:rsidP="00305C15">
            <w:pPr>
              <w:pStyle w:val="TtuloTDC"/>
              <w:jc w:val="both"/>
              <w:rPr>
                <w:rFonts w:ascii="Calibri Light" w:hAnsi="Calibri Light" w:cs="Calibri Light"/>
                <w:sz w:val="22"/>
                <w:szCs w:val="22"/>
              </w:rPr>
            </w:pPr>
            <w:r w:rsidRPr="00305C15">
              <w:rPr>
                <w:sz w:val="22"/>
                <w:szCs w:val="22"/>
                <w:lang w:val="bg"/>
              </w:rPr>
              <w:t>Съдържание</w:t>
            </w:r>
          </w:p>
          <w:p w14:paraId="6692D1D3" w14:textId="744715EB" w:rsidR="009205D9" w:rsidRPr="00305C15" w:rsidRDefault="009205D9" w:rsidP="00305C15">
            <w:pPr>
              <w:pStyle w:val="TDC1"/>
              <w:tabs>
                <w:tab w:val="left" w:pos="440"/>
                <w:tab w:val="right" w:leader="dot" w:pos="6136"/>
              </w:tabs>
              <w:jc w:val="both"/>
              <w:rPr>
                <w:rFonts w:ascii="Calibri Light" w:hAnsi="Calibri Light" w:cs="Calibri Light"/>
                <w:noProof/>
              </w:rPr>
            </w:pPr>
            <w:r w:rsidRPr="00305C15">
              <w:rPr>
                <w:lang w:val="bg"/>
              </w:rPr>
              <w:fldChar w:fldCharType="begin"/>
            </w:r>
            <w:r w:rsidRPr="00305C15">
              <w:rPr>
                <w:lang w:val="bg"/>
              </w:rPr>
              <w:instrText xml:space="preserve"> TOC \o "1-3" \h \z \u </w:instrText>
            </w:r>
            <w:r w:rsidRPr="00305C15">
              <w:rPr>
                <w:lang w:val="bg"/>
              </w:rPr>
              <w:fldChar w:fldCharType="separate"/>
            </w:r>
            <w:hyperlink w:anchor="_Toc92359748" w:history="1">
              <w:r w:rsidRPr="00305C15">
                <w:rPr>
                  <w:rStyle w:val="Hipervnculo"/>
                  <w:noProof/>
                  <w:lang w:val="bg"/>
                </w:rPr>
                <w:t xml:space="preserve">1.Интернационализация и управление на износа / Управление на взаимоотношенията с клиенти </w:t>
              </w:r>
              <w:r w:rsidRPr="00305C15">
                <w:rPr>
                  <w:noProof/>
                  <w:webHidden/>
                  <w:lang w:val="bg"/>
                </w:rPr>
                <w:fldChar w:fldCharType="begin"/>
              </w:r>
              <w:r w:rsidRPr="00305C15">
                <w:rPr>
                  <w:noProof/>
                  <w:webHidden/>
                  <w:lang w:val="bg"/>
                </w:rPr>
                <w:instrText xml:space="preserve"> PAGEREF _Toc92359748 \h </w:instrText>
              </w:r>
              <w:r w:rsidRPr="00305C15">
                <w:rPr>
                  <w:noProof/>
                  <w:webHidden/>
                  <w:lang w:val="bg"/>
                </w:rPr>
              </w:r>
              <w:r w:rsidR="002D240F">
                <w:rPr>
                  <w:noProof/>
                  <w:webHidden/>
                  <w:lang w:val="bg"/>
                </w:rPr>
                <w:fldChar w:fldCharType="separate"/>
              </w:r>
              <w:r w:rsidRPr="00305C15">
                <w:rPr>
                  <w:noProof/>
                  <w:webHidden/>
                  <w:lang w:val="bg"/>
                </w:rPr>
                <w:fldChar w:fldCharType="end"/>
              </w:r>
            </w:hyperlink>
          </w:p>
          <w:p w14:paraId="2988706F" w14:textId="799FDCDC" w:rsidR="009205D9" w:rsidRPr="00305C15" w:rsidRDefault="002D240F" w:rsidP="00305C15">
            <w:pPr>
              <w:pStyle w:val="TDC2"/>
              <w:tabs>
                <w:tab w:val="left" w:pos="880"/>
                <w:tab w:val="right" w:leader="dot" w:pos="6136"/>
              </w:tabs>
              <w:jc w:val="both"/>
              <w:rPr>
                <w:rFonts w:ascii="Calibri Light" w:hAnsi="Calibri Light" w:cs="Calibri Light"/>
                <w:noProof/>
              </w:rPr>
            </w:pPr>
            <w:hyperlink w:anchor="_Toc92359749" w:history="1">
              <w:r w:rsidR="009205D9" w:rsidRPr="00305C15">
                <w:rPr>
                  <w:rStyle w:val="Hipervnculo"/>
                  <w:noProof/>
                  <w:lang w:val="bg"/>
                </w:rPr>
                <w:t>1.1.</w:t>
              </w:r>
              <w:r w:rsidR="009205D9" w:rsidRPr="00305C15">
                <w:rPr>
                  <w:noProof/>
                  <w:webHidden/>
                  <w:lang w:val="bg"/>
                </w:rPr>
                <w:fldChar w:fldCharType="begin"/>
              </w:r>
              <w:r w:rsidR="009205D9" w:rsidRPr="00305C15">
                <w:rPr>
                  <w:noProof/>
                  <w:webHidden/>
                  <w:lang w:val="bg"/>
                </w:rPr>
                <w:instrText xml:space="preserve"> PAGEREF _Toc92359749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hyperlink w:anchor="_Toc92359749" w:history="1">
              <w:r w:rsidR="009205D9" w:rsidRPr="00305C15">
                <w:rPr>
                  <w:rStyle w:val="Hipervnculo"/>
                  <w:noProof/>
                  <w:lang w:val="bg"/>
                </w:rPr>
                <w:t>Интернационализация</w:t>
              </w:r>
              <w:r w:rsidR="009205D9" w:rsidRPr="00305C15">
                <w:rPr>
                  <w:noProof/>
                  <w:webHidden/>
                  <w:lang w:val="bg"/>
                </w:rPr>
                <w:fldChar w:fldCharType="begin"/>
              </w:r>
              <w:r w:rsidR="009205D9" w:rsidRPr="00305C15">
                <w:rPr>
                  <w:noProof/>
                  <w:webHidden/>
                  <w:lang w:val="bg"/>
                </w:rPr>
                <w:instrText xml:space="preserve"> PAGEREF _Toc92359749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724E1190" w14:textId="2CA2F208" w:rsidR="009205D9" w:rsidRPr="00305C15" w:rsidRDefault="002D240F" w:rsidP="00305C15">
            <w:pPr>
              <w:pStyle w:val="TDC3"/>
              <w:tabs>
                <w:tab w:val="left" w:pos="1320"/>
                <w:tab w:val="right" w:leader="dot" w:pos="6136"/>
              </w:tabs>
              <w:jc w:val="both"/>
              <w:rPr>
                <w:rFonts w:ascii="Calibri Light" w:hAnsi="Calibri Light" w:cs="Calibri Light"/>
                <w:noProof/>
              </w:rPr>
            </w:pPr>
            <w:hyperlink w:anchor="_Toc92359750" w:history="1">
              <w:r w:rsidR="009205D9" w:rsidRPr="00305C15">
                <w:rPr>
                  <w:rStyle w:val="Hipervnculo"/>
                  <w:noProof/>
                  <w:lang w:val="bg"/>
                </w:rPr>
                <w:t>1.1.1.Насърчаване на селскостопански</w:t>
              </w:r>
            </w:hyperlink>
            <w:r w:rsidR="008660A4">
              <w:rPr>
                <w:noProof/>
                <w:lang w:val="bg"/>
              </w:rPr>
              <w:t xml:space="preserve"> </w:t>
            </w:r>
            <w:hyperlink w:anchor="_Toc92359750" w:history="1">
              <w:r w:rsidR="009205D9" w:rsidRPr="00305C15">
                <w:rPr>
                  <w:rStyle w:val="Hipervnculo"/>
                  <w:noProof/>
                  <w:lang w:val="bg"/>
                </w:rPr>
                <w:t>продукти</w:t>
              </w:r>
              <w:r w:rsidR="008660A4">
                <w:rPr>
                  <w:rStyle w:val="Hipervnculo"/>
                  <w:noProof/>
                  <w:lang w:val="bg"/>
                </w:rPr>
                <w:t xml:space="preserve"> </w:t>
              </w:r>
              <w:r w:rsidR="009205D9" w:rsidRPr="00305C15">
                <w:rPr>
                  <w:noProof/>
                  <w:webHidden/>
                  <w:lang w:val="bg"/>
                </w:rPr>
                <w:fldChar w:fldCharType="begin"/>
              </w:r>
              <w:r w:rsidR="009205D9" w:rsidRPr="00305C15">
                <w:rPr>
                  <w:noProof/>
                  <w:webHidden/>
                  <w:lang w:val="bg"/>
                </w:rPr>
                <w:instrText xml:space="preserve"> PAGEREF _Toc92359750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3804A6D7" w14:textId="44B9D133" w:rsidR="009205D9" w:rsidRPr="00305C15" w:rsidRDefault="002D240F" w:rsidP="00305C15">
            <w:pPr>
              <w:pStyle w:val="TDC3"/>
              <w:tabs>
                <w:tab w:val="left" w:pos="1320"/>
                <w:tab w:val="right" w:leader="dot" w:pos="6136"/>
              </w:tabs>
              <w:jc w:val="both"/>
              <w:rPr>
                <w:rFonts w:ascii="Calibri Light" w:hAnsi="Calibri Light" w:cs="Calibri Light"/>
                <w:noProof/>
              </w:rPr>
            </w:pPr>
            <w:hyperlink w:anchor="_Toc92359751" w:history="1">
              <w:r w:rsidR="009205D9" w:rsidRPr="00305C15">
                <w:rPr>
                  <w:rStyle w:val="Hipervnculo"/>
                  <w:noProof/>
                  <w:lang w:val="bg"/>
                </w:rPr>
                <w:t>1.1.2.</w:t>
              </w:r>
              <w:r w:rsidR="009205D9" w:rsidRPr="00305C15">
                <w:rPr>
                  <w:noProof/>
                  <w:webHidden/>
                  <w:lang w:val="bg"/>
                </w:rPr>
                <w:fldChar w:fldCharType="begin"/>
              </w:r>
              <w:r w:rsidR="009205D9" w:rsidRPr="00305C15">
                <w:rPr>
                  <w:noProof/>
                  <w:webHidden/>
                  <w:lang w:val="bg"/>
                </w:rPr>
                <w:instrText xml:space="preserve"> PAGEREF _Toc92359751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hyperlink w:anchor="_Toc92359751" w:history="1">
              <w:r w:rsidR="009205D9" w:rsidRPr="00305C15">
                <w:rPr>
                  <w:rStyle w:val="Hipervnculo"/>
                  <w:noProof/>
                  <w:lang w:val="bg"/>
                </w:rPr>
                <w:t xml:space="preserve"> Поддръжка за износители</w:t>
              </w:r>
              <w:r w:rsidR="009205D9" w:rsidRPr="00305C15">
                <w:rPr>
                  <w:noProof/>
                  <w:webHidden/>
                  <w:lang w:val="bg"/>
                </w:rPr>
                <w:fldChar w:fldCharType="begin"/>
              </w:r>
              <w:r w:rsidR="009205D9" w:rsidRPr="00305C15">
                <w:rPr>
                  <w:noProof/>
                  <w:webHidden/>
                  <w:lang w:val="bg"/>
                </w:rPr>
                <w:instrText xml:space="preserve"> PAGEREF _Toc92359751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258164BE" w14:textId="7CF97193" w:rsidR="009205D9" w:rsidRPr="00305C15" w:rsidRDefault="002D240F" w:rsidP="00305C15">
            <w:pPr>
              <w:pStyle w:val="TDC3"/>
              <w:tabs>
                <w:tab w:val="left" w:pos="1320"/>
                <w:tab w:val="right" w:leader="dot" w:pos="6136"/>
              </w:tabs>
              <w:jc w:val="both"/>
              <w:rPr>
                <w:rFonts w:ascii="Calibri Light" w:hAnsi="Calibri Light" w:cs="Calibri Light"/>
                <w:noProof/>
              </w:rPr>
            </w:pPr>
            <w:hyperlink w:anchor="_Toc92359752" w:history="1">
              <w:r w:rsidR="009205D9" w:rsidRPr="00305C15">
                <w:rPr>
                  <w:rStyle w:val="Hipervnculo"/>
                  <w:noProof/>
                  <w:lang w:val="bg"/>
                </w:rPr>
                <w:t>1.1.3. Мерки за подпомагане на селскостопанските пазари</w:t>
              </w:r>
              <w:r w:rsidR="009205D9" w:rsidRPr="00305C15">
                <w:rPr>
                  <w:noProof/>
                  <w:webHidden/>
                  <w:lang w:val="bg"/>
                </w:rPr>
                <w:fldChar w:fldCharType="begin"/>
              </w:r>
              <w:r w:rsidR="009205D9" w:rsidRPr="00305C15">
                <w:rPr>
                  <w:noProof/>
                  <w:webHidden/>
                  <w:lang w:val="bg"/>
                </w:rPr>
                <w:instrText xml:space="preserve"> PAGEREF _Toc92359752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7002904E" w14:textId="000204CD" w:rsidR="009205D9" w:rsidRPr="00305C15" w:rsidRDefault="002D240F" w:rsidP="00305C15">
            <w:pPr>
              <w:pStyle w:val="TDC2"/>
              <w:tabs>
                <w:tab w:val="left" w:pos="880"/>
                <w:tab w:val="right" w:leader="dot" w:pos="6136"/>
              </w:tabs>
              <w:jc w:val="both"/>
              <w:rPr>
                <w:rFonts w:ascii="Calibri Light" w:hAnsi="Calibri Light" w:cs="Calibri Light"/>
                <w:noProof/>
              </w:rPr>
            </w:pPr>
            <w:hyperlink w:anchor="_Toc92359753" w:history="1">
              <w:r w:rsidR="009205D9" w:rsidRPr="00305C15">
                <w:rPr>
                  <w:rStyle w:val="Hipervnculo"/>
                  <w:noProof/>
                  <w:lang w:val="bg"/>
                </w:rPr>
                <w:t xml:space="preserve">1.2.Управление на взаимоотношения с </w:t>
              </w:r>
              <w:r w:rsidR="009205D9" w:rsidRPr="00305C15">
                <w:rPr>
                  <w:noProof/>
                  <w:webHidden/>
                  <w:lang w:val="bg"/>
                </w:rPr>
                <w:fldChar w:fldCharType="begin"/>
              </w:r>
              <w:r w:rsidR="009205D9" w:rsidRPr="00305C15">
                <w:rPr>
                  <w:noProof/>
                  <w:webHidden/>
                  <w:lang w:val="bg"/>
                </w:rPr>
                <w:instrText xml:space="preserve"> PAGEREF _Toc92359753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hyperlink w:anchor="_Toc92359753" w:history="1">
              <w:r w:rsidR="009205D9" w:rsidRPr="00305C15">
                <w:rPr>
                  <w:rStyle w:val="Hipervnculo"/>
                  <w:noProof/>
                  <w:lang w:val="bg"/>
                </w:rPr>
                <w:t>клиенти</w:t>
              </w:r>
              <w:r w:rsidR="009205D9" w:rsidRPr="00305C15">
                <w:rPr>
                  <w:noProof/>
                  <w:webHidden/>
                  <w:lang w:val="bg"/>
                </w:rPr>
                <w:fldChar w:fldCharType="begin"/>
              </w:r>
              <w:r w:rsidR="009205D9" w:rsidRPr="00305C15">
                <w:rPr>
                  <w:noProof/>
                  <w:webHidden/>
                  <w:lang w:val="bg"/>
                </w:rPr>
                <w:instrText xml:space="preserve"> PAGEREF _Toc92359753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2D6704E3" w14:textId="39657552" w:rsidR="009205D9" w:rsidRPr="00305C15" w:rsidRDefault="002D240F" w:rsidP="00305C15">
            <w:pPr>
              <w:pStyle w:val="TDC3"/>
              <w:tabs>
                <w:tab w:val="left" w:pos="1320"/>
                <w:tab w:val="right" w:leader="dot" w:pos="6136"/>
              </w:tabs>
              <w:jc w:val="both"/>
              <w:rPr>
                <w:rFonts w:ascii="Calibri Light" w:hAnsi="Calibri Light" w:cs="Calibri Light"/>
                <w:noProof/>
              </w:rPr>
            </w:pPr>
            <w:hyperlink w:anchor="_Toc92359754" w:history="1">
              <w:r w:rsidR="009205D9" w:rsidRPr="00305C15">
                <w:rPr>
                  <w:rStyle w:val="Hipervnculo"/>
                  <w:noProof/>
                  <w:lang w:val="bg"/>
                </w:rPr>
                <w:t>1.2.1.</w:t>
              </w:r>
              <w:r w:rsidR="009205D9" w:rsidRPr="00305C15">
                <w:rPr>
                  <w:noProof/>
                  <w:webHidden/>
                  <w:lang w:val="bg"/>
                </w:rPr>
                <w:fldChar w:fldCharType="begin"/>
              </w:r>
              <w:r w:rsidR="009205D9" w:rsidRPr="00305C15">
                <w:rPr>
                  <w:noProof/>
                  <w:webHidden/>
                  <w:lang w:val="bg"/>
                </w:rPr>
                <w:instrText xml:space="preserve"> PAGEREF _Toc92359754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hyperlink w:anchor="_Toc92359754" w:history="1">
              <w:r w:rsidR="009205D9" w:rsidRPr="00305C15">
                <w:rPr>
                  <w:rStyle w:val="Hipervnculo"/>
                  <w:noProof/>
                  <w:lang w:val="bg"/>
                </w:rPr>
                <w:t>Обща информация</w:t>
              </w:r>
              <w:r w:rsidR="009205D9" w:rsidRPr="00305C15">
                <w:rPr>
                  <w:noProof/>
                  <w:webHidden/>
                  <w:lang w:val="bg"/>
                </w:rPr>
                <w:fldChar w:fldCharType="begin"/>
              </w:r>
              <w:r w:rsidR="009205D9" w:rsidRPr="00305C15">
                <w:rPr>
                  <w:noProof/>
                  <w:webHidden/>
                  <w:lang w:val="bg"/>
                </w:rPr>
                <w:instrText xml:space="preserve"> PAGEREF _Toc92359754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64333860" w14:textId="67239686" w:rsidR="009205D9" w:rsidRPr="00305C15" w:rsidRDefault="002D240F" w:rsidP="00305C15">
            <w:pPr>
              <w:pStyle w:val="TDC2"/>
              <w:tabs>
                <w:tab w:val="left" w:pos="880"/>
                <w:tab w:val="right" w:leader="dot" w:pos="6136"/>
              </w:tabs>
              <w:jc w:val="both"/>
              <w:rPr>
                <w:rFonts w:ascii="Calibri Light" w:hAnsi="Calibri Light" w:cs="Calibri Light"/>
                <w:noProof/>
              </w:rPr>
            </w:pPr>
            <w:hyperlink w:anchor="_Toc92359755" w:history="1">
              <w:r w:rsidR="009205D9" w:rsidRPr="00305C15">
                <w:rPr>
                  <w:rStyle w:val="Hipervnculo"/>
                  <w:noProof/>
                  <w:lang w:val="bg"/>
                </w:rPr>
                <w:t>1.3.Управление на</w:t>
              </w:r>
              <w:r w:rsidR="009205D9" w:rsidRPr="00305C15">
                <w:rPr>
                  <w:noProof/>
                  <w:webHidden/>
                  <w:lang w:val="bg"/>
                </w:rPr>
                <w:fldChar w:fldCharType="begin"/>
              </w:r>
              <w:r w:rsidR="009205D9" w:rsidRPr="00305C15">
                <w:rPr>
                  <w:noProof/>
                  <w:webHidden/>
                  <w:lang w:val="bg"/>
                </w:rPr>
                <w:instrText xml:space="preserve"> PAGEREF _Toc92359755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r w:rsidR="00D049CA">
              <w:rPr>
                <w:noProof/>
                <w:lang w:val="bg"/>
              </w:rPr>
              <w:t xml:space="preserve"> </w:t>
            </w:r>
            <w:hyperlink w:anchor="_Toc92359755" w:history="1">
              <w:r w:rsidR="009205D9" w:rsidRPr="00305C15">
                <w:rPr>
                  <w:rStyle w:val="Hipervnculo"/>
                  <w:noProof/>
                  <w:lang w:val="bg"/>
                </w:rPr>
                <w:t>износа</w:t>
              </w:r>
              <w:r w:rsidR="00D049CA">
                <w:rPr>
                  <w:rStyle w:val="Hipervnculo"/>
                  <w:noProof/>
                  <w:lang w:val="bg"/>
                </w:rPr>
                <w:t xml:space="preserve"> </w:t>
              </w:r>
              <w:r w:rsidR="009205D9" w:rsidRPr="00305C15">
                <w:rPr>
                  <w:noProof/>
                  <w:webHidden/>
                  <w:lang w:val="bg"/>
                </w:rPr>
                <w:fldChar w:fldCharType="begin"/>
              </w:r>
              <w:r w:rsidR="009205D9" w:rsidRPr="00305C15">
                <w:rPr>
                  <w:noProof/>
                  <w:webHidden/>
                  <w:lang w:val="bg"/>
                </w:rPr>
                <w:instrText xml:space="preserve"> PAGEREF _Toc92359755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1C06B8C2" w14:textId="78A9DB8D" w:rsidR="009205D9" w:rsidRPr="00305C15" w:rsidRDefault="002D240F" w:rsidP="00305C15">
            <w:pPr>
              <w:pStyle w:val="TDC3"/>
              <w:tabs>
                <w:tab w:val="left" w:pos="1320"/>
                <w:tab w:val="right" w:leader="dot" w:pos="6136"/>
              </w:tabs>
              <w:jc w:val="both"/>
              <w:rPr>
                <w:rFonts w:ascii="Calibri Light" w:hAnsi="Calibri Light" w:cs="Calibri Light"/>
                <w:noProof/>
              </w:rPr>
            </w:pPr>
            <w:hyperlink w:anchor="_Toc92359756" w:history="1">
              <w:r w:rsidR="009205D9" w:rsidRPr="00305C15">
                <w:rPr>
                  <w:rStyle w:val="Hipervnculo"/>
                  <w:noProof/>
                  <w:lang w:val="bg"/>
                </w:rPr>
                <w:t>1.3.1.</w:t>
              </w:r>
              <w:r w:rsidR="009205D9" w:rsidRPr="00305C15">
                <w:rPr>
                  <w:noProof/>
                  <w:webHidden/>
                  <w:lang w:val="bg"/>
                </w:rPr>
                <w:fldChar w:fldCharType="begin"/>
              </w:r>
              <w:r w:rsidR="009205D9" w:rsidRPr="00305C15">
                <w:rPr>
                  <w:noProof/>
                  <w:webHidden/>
                  <w:lang w:val="bg"/>
                </w:rPr>
                <w:instrText xml:space="preserve"> PAGEREF _Toc92359756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hyperlink w:anchor="_Toc92359756" w:history="1">
              <w:r w:rsidR="009205D9" w:rsidRPr="00305C15">
                <w:rPr>
                  <w:rStyle w:val="Hipervnculo"/>
                  <w:noProof/>
                  <w:lang w:val="bg"/>
                </w:rPr>
                <w:t>Обща информация</w:t>
              </w:r>
              <w:r w:rsidR="00487EE8">
                <w:rPr>
                  <w:rStyle w:val="Hipervnculo"/>
                  <w:noProof/>
                  <w:lang w:val="bg"/>
                </w:rPr>
                <w:t xml:space="preserve"> </w:t>
              </w:r>
              <w:r w:rsidR="009205D9" w:rsidRPr="00305C15">
                <w:rPr>
                  <w:noProof/>
                  <w:webHidden/>
                  <w:lang w:val="bg"/>
                </w:rPr>
                <w:fldChar w:fldCharType="begin"/>
              </w:r>
              <w:r w:rsidR="009205D9" w:rsidRPr="00305C15">
                <w:rPr>
                  <w:noProof/>
                  <w:webHidden/>
                  <w:lang w:val="bg"/>
                </w:rPr>
                <w:instrText xml:space="preserve"> PAGEREF _Toc92359756 \h </w:instrText>
              </w:r>
              <w:r w:rsidR="009205D9" w:rsidRPr="00305C15">
                <w:rPr>
                  <w:noProof/>
                  <w:webHidden/>
                  <w:lang w:val="bg"/>
                </w:rPr>
              </w:r>
              <w:r>
                <w:rPr>
                  <w:noProof/>
                  <w:webHidden/>
                  <w:lang w:val="bg"/>
                </w:rPr>
                <w:fldChar w:fldCharType="separate"/>
              </w:r>
              <w:r w:rsidR="009205D9" w:rsidRPr="00305C15">
                <w:rPr>
                  <w:noProof/>
                  <w:webHidden/>
                  <w:lang w:val="bg"/>
                </w:rPr>
                <w:fldChar w:fldCharType="end"/>
              </w:r>
            </w:hyperlink>
          </w:p>
          <w:p w14:paraId="59AE039B" w14:textId="48EAA3F2" w:rsidR="00A42170" w:rsidRPr="00305C15" w:rsidRDefault="009205D9" w:rsidP="00305C15">
            <w:pPr>
              <w:jc w:val="both"/>
              <w:rPr>
                <w:rFonts w:ascii="Calibri Light" w:hAnsi="Calibri Light" w:cs="Calibri Light"/>
              </w:rPr>
            </w:pPr>
            <w:r w:rsidRPr="00305C15">
              <w:rPr>
                <w:rFonts w:ascii="Calibri Light" w:hAnsi="Calibri Light" w:cs="Calibri Light"/>
                <w:b/>
                <w:bCs/>
                <w:noProof/>
              </w:rPr>
              <w:fldChar w:fldCharType="end"/>
            </w:r>
          </w:p>
        </w:tc>
      </w:tr>
      <w:tr w:rsidR="00A42170" w:rsidRPr="00305C15" w14:paraId="104D1706"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2505EAD" w14:textId="05AF67D3" w:rsidR="00A42170" w:rsidRPr="00305C15" w:rsidRDefault="000633A7" w:rsidP="000633A7">
            <w:pPr>
              <w:numPr>
                <w:ilvl w:val="2"/>
                <w:numId w:val="12"/>
              </w:numPr>
              <w:jc w:val="both"/>
              <w:rPr>
                <w:rFonts w:ascii="Calibri Light" w:hAnsi="Calibri Light" w:cs="Calibri Light"/>
                <w:b/>
                <w:color w:val="FFFFFF"/>
                <w:lang w:val="en-GB"/>
              </w:rPr>
            </w:pPr>
            <w:r>
              <w:rPr>
                <w:b/>
                <w:color w:val="FFFFFF"/>
                <w:lang w:val="bg"/>
              </w:rPr>
              <w:t>дефиниции</w:t>
            </w:r>
          </w:p>
        </w:tc>
      </w:tr>
      <w:tr w:rsidR="00A42170" w:rsidRPr="00737A03" w14:paraId="4D567FBB"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790489" w14:textId="22BC9922" w:rsidR="00A42170" w:rsidRPr="0086112C" w:rsidRDefault="00467521" w:rsidP="00305C15">
            <w:pPr>
              <w:numPr>
                <w:ilvl w:val="0"/>
                <w:numId w:val="30"/>
              </w:numPr>
              <w:jc w:val="both"/>
              <w:rPr>
                <w:rFonts w:ascii="Calibri Light" w:hAnsi="Calibri Light" w:cs="Calibri Light"/>
              </w:rPr>
            </w:pPr>
            <w:r w:rsidRPr="00305C15">
              <w:rPr>
                <w:lang w:val="bg"/>
              </w:rPr>
              <w:lastRenderedPageBreak/>
              <w:t xml:space="preserve">Интернационализация на селскостопанския бизнес – актът на подобряване на конкурентоспособността на земеделските стопани, </w:t>
            </w:r>
            <w:r w:rsidR="0022118C" w:rsidRPr="00305C15">
              <w:rPr>
                <w:lang w:val="bg"/>
              </w:rPr>
              <w:t>създаване на нови работни места и получаване на стабилни доходи в селските райони.</w:t>
            </w:r>
          </w:p>
          <w:p w14:paraId="2C09CC38" w14:textId="64EC0774" w:rsidR="0022118C" w:rsidRPr="0086112C" w:rsidRDefault="0022118C" w:rsidP="00305C15">
            <w:pPr>
              <w:numPr>
                <w:ilvl w:val="0"/>
                <w:numId w:val="30"/>
              </w:numPr>
              <w:jc w:val="both"/>
              <w:rPr>
                <w:rFonts w:ascii="Calibri Light" w:hAnsi="Calibri Light" w:cs="Calibri Light"/>
              </w:rPr>
            </w:pPr>
            <w:r w:rsidRPr="00305C15">
              <w:rPr>
                <w:lang w:val="bg"/>
              </w:rPr>
              <w:t>Управление на износа – провеждане на експортната дейност по подреден, ефикасен и печеливш начин.</w:t>
            </w:r>
          </w:p>
          <w:p w14:paraId="4DE6C7F4" w14:textId="555FCBD7" w:rsidR="0022118C" w:rsidRPr="0086112C" w:rsidRDefault="0022118C" w:rsidP="00305C15">
            <w:pPr>
              <w:numPr>
                <w:ilvl w:val="0"/>
                <w:numId w:val="30"/>
              </w:numPr>
              <w:jc w:val="both"/>
              <w:rPr>
                <w:rFonts w:ascii="Calibri Light" w:hAnsi="Calibri Light" w:cs="Calibri Light"/>
              </w:rPr>
            </w:pPr>
            <w:r w:rsidRPr="00305C15">
              <w:rPr>
                <w:lang w:val="bg"/>
              </w:rPr>
              <w:t>Управление на взаимоотношенията с клиенти – комбинацията от практики, стратегии и технологии, които компаниите използват, за да анализират взаимодействията и данните на клиентите през целия жизнен цикъл на клиента.</w:t>
            </w:r>
          </w:p>
          <w:p w14:paraId="3C27C75C" w14:textId="5E2012E6" w:rsidR="0022118C" w:rsidRPr="0086112C" w:rsidRDefault="0022118C" w:rsidP="00305C15">
            <w:pPr>
              <w:numPr>
                <w:ilvl w:val="0"/>
                <w:numId w:val="30"/>
              </w:numPr>
              <w:jc w:val="both"/>
              <w:rPr>
                <w:rFonts w:ascii="Calibri Light" w:hAnsi="Calibri Light" w:cs="Calibri Light"/>
              </w:rPr>
            </w:pPr>
            <w:r w:rsidRPr="00305C15">
              <w:rPr>
                <w:lang w:val="bg"/>
              </w:rPr>
              <w:t>Промоционални програми</w:t>
            </w:r>
            <w:r w:rsidR="00661F1D" w:rsidRPr="00305C15">
              <w:rPr>
                <w:lang w:val="bg"/>
              </w:rPr>
              <w:t xml:space="preserve"> — програми, които насърчават биологични продукти, устойчиво селско стопанство в ЕС, както и ролята на сектора по отношение на действията в областта на климата и околната среда.</w:t>
            </w:r>
          </w:p>
          <w:p w14:paraId="36C7A8D6" w14:textId="6F8EB8A3" w:rsidR="0022118C" w:rsidRPr="0086112C" w:rsidRDefault="0022118C" w:rsidP="00305C15">
            <w:pPr>
              <w:numPr>
                <w:ilvl w:val="0"/>
                <w:numId w:val="30"/>
              </w:numPr>
              <w:jc w:val="both"/>
              <w:rPr>
                <w:rFonts w:ascii="Calibri Light" w:hAnsi="Calibri Light" w:cs="Calibri Light"/>
                <w:lang w:val="bg"/>
              </w:rPr>
            </w:pPr>
            <w:r w:rsidRPr="00305C15">
              <w:rPr>
                <w:lang w:val="bg"/>
              </w:rPr>
              <w:t>Чуждестранни пазари - това са пазари извън родната страна на бизнес организация</w:t>
            </w:r>
            <w:r w:rsidR="006E458D">
              <w:rPr>
                <w:lang w:val="bg"/>
              </w:rPr>
              <w:t>та</w:t>
            </w:r>
            <w:r w:rsidRPr="00305C15">
              <w:rPr>
                <w:lang w:val="bg"/>
              </w:rPr>
              <w:t>. Продавайки продукта си на чужд пазар, вие получавате достъп до нова база от клиенти и тези клиенти ще ви предоставят увеличени приходи, дори ако сте нас</w:t>
            </w:r>
            <w:r w:rsidR="00B351AA">
              <w:rPr>
                <w:lang w:val="bg"/>
              </w:rPr>
              <w:t>итили</w:t>
            </w:r>
            <w:r w:rsidRPr="00305C15">
              <w:rPr>
                <w:lang w:val="bg"/>
              </w:rPr>
              <w:t xml:space="preserve"> пазарите си у дома.</w:t>
            </w:r>
          </w:p>
          <w:p w14:paraId="55B00749" w14:textId="77777777" w:rsidR="00A42170" w:rsidRPr="0086112C" w:rsidRDefault="00A42170" w:rsidP="00305C15">
            <w:pPr>
              <w:ind w:left="567" w:hanging="425"/>
              <w:jc w:val="both"/>
              <w:rPr>
                <w:rFonts w:ascii="Calibri Light" w:hAnsi="Calibri Light" w:cs="Calibri Light"/>
                <w:lang w:val="bg"/>
              </w:rPr>
            </w:pPr>
          </w:p>
          <w:p w14:paraId="736A3A96" w14:textId="77777777" w:rsidR="00A42170" w:rsidRPr="0086112C" w:rsidRDefault="00A42170" w:rsidP="00305C15">
            <w:pPr>
              <w:ind w:left="567" w:hanging="425"/>
              <w:jc w:val="both"/>
              <w:rPr>
                <w:rFonts w:ascii="Calibri Light" w:hAnsi="Calibri Light" w:cs="Calibri Light"/>
                <w:lang w:val="bg"/>
              </w:rPr>
            </w:pPr>
          </w:p>
        </w:tc>
      </w:tr>
      <w:tr w:rsidR="00A42170" w:rsidRPr="00305C15" w14:paraId="61E69F49"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A6F10DD"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Библиография и допълнителни препратки</w:t>
            </w:r>
          </w:p>
        </w:tc>
      </w:tr>
      <w:tr w:rsidR="00A42170" w:rsidRPr="00305C15" w14:paraId="2F6F3EEF"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79ABC7" w14:textId="351E061E" w:rsidR="00A42170" w:rsidRPr="0086112C" w:rsidRDefault="002D240F" w:rsidP="00305C15">
            <w:pPr>
              <w:numPr>
                <w:ilvl w:val="0"/>
                <w:numId w:val="38"/>
              </w:numPr>
              <w:jc w:val="both"/>
              <w:rPr>
                <w:rFonts w:ascii="Calibri Light" w:hAnsi="Calibri Light" w:cs="Calibri Light"/>
              </w:rPr>
            </w:pPr>
            <w:hyperlink r:id="rId23" w:history="1">
              <w:r w:rsidR="001773EB" w:rsidRPr="00305C15">
                <w:rPr>
                  <w:rStyle w:val="Hipervnculo"/>
                  <w:lang w:val="bg"/>
                </w:rPr>
                <w:t>https://searchcustomerexperience.techtarget.com/definition/CRM-customer-relationship-management</w:t>
              </w:r>
            </w:hyperlink>
          </w:p>
          <w:p w14:paraId="45EBF721" w14:textId="27F76428" w:rsidR="001773EB" w:rsidRPr="0086112C" w:rsidRDefault="002D240F" w:rsidP="00305C15">
            <w:pPr>
              <w:numPr>
                <w:ilvl w:val="0"/>
                <w:numId w:val="38"/>
              </w:numPr>
              <w:jc w:val="both"/>
              <w:rPr>
                <w:rFonts w:ascii="Calibri Light" w:hAnsi="Calibri Light" w:cs="Calibri Light"/>
              </w:rPr>
            </w:pPr>
            <w:hyperlink r:id="rId24" w:history="1">
              <w:r w:rsidR="001773EB" w:rsidRPr="00305C15">
                <w:rPr>
                  <w:rStyle w:val="Hipervnculo"/>
                  <w:lang w:val="bg"/>
                </w:rPr>
                <w:t>https://www.investopedia.com/terms/c/customer_relation_management.asp</w:t>
              </w:r>
            </w:hyperlink>
          </w:p>
          <w:p w14:paraId="1BBF179D" w14:textId="56380866" w:rsidR="001773EB" w:rsidRPr="0086112C" w:rsidRDefault="002D240F" w:rsidP="00305C15">
            <w:pPr>
              <w:numPr>
                <w:ilvl w:val="0"/>
                <w:numId w:val="38"/>
              </w:numPr>
              <w:jc w:val="both"/>
              <w:rPr>
                <w:rFonts w:ascii="Calibri Light" w:hAnsi="Calibri Light" w:cs="Calibri Light"/>
              </w:rPr>
            </w:pPr>
            <w:hyperlink r:id="rId25" w:history="1">
              <w:r w:rsidR="001773EB" w:rsidRPr="00305C15">
                <w:rPr>
                  <w:rStyle w:val="Hipervnculo"/>
                  <w:lang w:val="bg"/>
                </w:rPr>
                <w:t>https://www.investopedia.com/terms/i/internationalization.asp</w:t>
              </w:r>
            </w:hyperlink>
          </w:p>
          <w:p w14:paraId="7F064AC4" w14:textId="77777777" w:rsidR="00A42170" w:rsidRPr="0086112C" w:rsidRDefault="00A42170" w:rsidP="00305C15">
            <w:pPr>
              <w:ind w:left="567" w:hanging="425"/>
              <w:jc w:val="both"/>
              <w:rPr>
                <w:rFonts w:ascii="Calibri Light" w:hAnsi="Calibri Light" w:cs="Calibri Light"/>
              </w:rPr>
            </w:pPr>
          </w:p>
        </w:tc>
      </w:tr>
      <w:tr w:rsidR="00A42170" w:rsidRPr="00305C15" w14:paraId="5502C8E1"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9CE28DF" w14:textId="514E2CD7" w:rsidR="00A42170" w:rsidRPr="0086112C" w:rsidRDefault="00A42170" w:rsidP="00305C15">
            <w:pPr>
              <w:ind w:left="567" w:hanging="425"/>
              <w:jc w:val="both"/>
              <w:rPr>
                <w:rFonts w:ascii="Calibri Light" w:hAnsi="Calibri Light" w:cs="Calibri Light"/>
                <w:b/>
                <w:color w:val="FFFFFF"/>
              </w:rPr>
            </w:pPr>
            <w:r w:rsidRPr="00305C15">
              <w:rPr>
                <w:b/>
                <w:color w:val="FFFFFF"/>
                <w:lang w:val="bg"/>
              </w:rPr>
              <w:t xml:space="preserve">5 въпроса за самооценка </w:t>
            </w:r>
          </w:p>
        </w:tc>
      </w:tr>
      <w:tr w:rsidR="00A42170" w:rsidRPr="00737A03" w14:paraId="69806159"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6E13FB8" w14:textId="59020F19" w:rsidR="00A42170" w:rsidRPr="0086112C" w:rsidRDefault="002F5BD4" w:rsidP="00305C15">
            <w:pPr>
              <w:numPr>
                <w:ilvl w:val="0"/>
                <w:numId w:val="32"/>
              </w:numPr>
              <w:jc w:val="both"/>
              <w:rPr>
                <w:rFonts w:ascii="Calibri Light" w:hAnsi="Calibri Light" w:cs="Calibri Light"/>
              </w:rPr>
            </w:pPr>
            <w:r w:rsidRPr="00305C15">
              <w:rPr>
                <w:lang w:val="bg"/>
              </w:rPr>
              <w:t>Основните дейности на С</w:t>
            </w:r>
            <w:r w:rsidR="00B351AA">
              <w:rPr>
                <w:lang w:val="bg"/>
              </w:rPr>
              <w:t xml:space="preserve">ветовната търговска </w:t>
            </w:r>
            <w:r w:rsidR="003B6F3D">
              <w:rPr>
                <w:lang w:val="bg"/>
              </w:rPr>
              <w:t>организация</w:t>
            </w:r>
            <w:r w:rsidRPr="00305C15">
              <w:rPr>
                <w:lang w:val="bg"/>
              </w:rPr>
              <w:t xml:space="preserve"> са:</w:t>
            </w:r>
          </w:p>
          <w:p w14:paraId="6E72E8A1" w14:textId="77777777" w:rsidR="002F5BD4" w:rsidRPr="0086112C" w:rsidRDefault="002F5BD4" w:rsidP="00305C15">
            <w:pPr>
              <w:numPr>
                <w:ilvl w:val="0"/>
                <w:numId w:val="35"/>
              </w:numPr>
              <w:jc w:val="both"/>
              <w:rPr>
                <w:rFonts w:ascii="Calibri Light" w:hAnsi="Calibri Light" w:cs="Calibri Light"/>
              </w:rPr>
            </w:pPr>
            <w:r w:rsidRPr="00305C15">
              <w:rPr>
                <w:lang w:val="bg"/>
              </w:rPr>
              <w:lastRenderedPageBreak/>
              <w:t>многостранни преговори за постепенно либерализиране на пазарите;</w:t>
            </w:r>
          </w:p>
          <w:p w14:paraId="49535848" w14:textId="44F23D9D" w:rsidR="002F5BD4" w:rsidRPr="0086112C" w:rsidRDefault="002F5BD4" w:rsidP="00305C15">
            <w:pPr>
              <w:numPr>
                <w:ilvl w:val="0"/>
                <w:numId w:val="35"/>
              </w:numPr>
              <w:jc w:val="both"/>
              <w:rPr>
                <w:rFonts w:ascii="Calibri Light" w:hAnsi="Calibri Light" w:cs="Calibri Light"/>
              </w:rPr>
            </w:pPr>
            <w:r w:rsidRPr="00305C15">
              <w:rPr>
                <w:lang w:val="bg"/>
              </w:rPr>
              <w:t>определяне на основните правни норми за търговия под формата на споразумения;</w:t>
            </w:r>
          </w:p>
          <w:p w14:paraId="1D6E9C4C" w14:textId="37901E7C" w:rsidR="002F5BD4" w:rsidRPr="0086112C" w:rsidRDefault="002F5BD4" w:rsidP="00305C15">
            <w:pPr>
              <w:numPr>
                <w:ilvl w:val="0"/>
                <w:numId w:val="35"/>
              </w:numPr>
              <w:jc w:val="both"/>
              <w:rPr>
                <w:rFonts w:ascii="Calibri Light" w:hAnsi="Calibri Light" w:cs="Calibri Light"/>
              </w:rPr>
            </w:pPr>
            <w:r w:rsidRPr="00305C15">
              <w:rPr>
                <w:lang w:val="bg"/>
              </w:rPr>
              <w:t>разрешаване на търговски спорове между държавите;</w:t>
            </w:r>
          </w:p>
          <w:p w14:paraId="4F95F488" w14:textId="5151EEDA" w:rsidR="002F5BD4" w:rsidRPr="0086112C" w:rsidRDefault="002F5BD4" w:rsidP="00305C15">
            <w:pPr>
              <w:numPr>
                <w:ilvl w:val="0"/>
                <w:numId w:val="35"/>
              </w:numPr>
              <w:jc w:val="both"/>
              <w:rPr>
                <w:rFonts w:ascii="Calibri Light" w:hAnsi="Calibri Light" w:cs="Calibri Light"/>
              </w:rPr>
            </w:pPr>
            <w:r w:rsidRPr="00305C15">
              <w:rPr>
                <w:lang w:val="bg"/>
              </w:rPr>
              <w:t>наблюдение на търговските политики на членовете</w:t>
            </w:r>
            <w:r w:rsidR="00EA6340">
              <w:rPr>
                <w:lang w:val="bg"/>
              </w:rPr>
              <w:t>;</w:t>
            </w:r>
          </w:p>
          <w:p w14:paraId="79ECC53B" w14:textId="26538371" w:rsidR="002F5BD4" w:rsidRPr="00737A03" w:rsidRDefault="001F799D" w:rsidP="00305C15">
            <w:pPr>
              <w:numPr>
                <w:ilvl w:val="0"/>
                <w:numId w:val="35"/>
              </w:numPr>
              <w:jc w:val="both"/>
              <w:rPr>
                <w:rFonts w:ascii="Calibri Light" w:hAnsi="Calibri Light" w:cs="Calibri Light"/>
                <w:b/>
                <w:bCs/>
                <w:lang w:val="en-US"/>
              </w:rPr>
            </w:pPr>
            <w:r w:rsidRPr="00737A03">
              <w:rPr>
                <w:b/>
                <w:bCs/>
                <w:lang w:val="bg"/>
              </w:rPr>
              <w:t>в</w:t>
            </w:r>
            <w:r w:rsidR="002F5BD4" w:rsidRPr="00737A03">
              <w:rPr>
                <w:b/>
                <w:bCs/>
                <w:lang w:val="bg"/>
              </w:rPr>
              <w:t xml:space="preserve">сички отговори са </w:t>
            </w:r>
            <w:r w:rsidRPr="00737A03">
              <w:rPr>
                <w:b/>
                <w:bCs/>
                <w:lang w:val="bg"/>
              </w:rPr>
              <w:t>верни</w:t>
            </w:r>
            <w:r w:rsidR="00EA6340" w:rsidRPr="00737A03">
              <w:rPr>
                <w:b/>
                <w:bCs/>
                <w:lang w:val="bg"/>
              </w:rPr>
              <w:t>;</w:t>
            </w:r>
          </w:p>
          <w:p w14:paraId="00FA9DEF" w14:textId="0111E1FD" w:rsidR="005D21F0" w:rsidRPr="00305C15" w:rsidRDefault="00680257" w:rsidP="00305C15">
            <w:pPr>
              <w:numPr>
                <w:ilvl w:val="0"/>
                <w:numId w:val="32"/>
              </w:numPr>
              <w:jc w:val="both"/>
              <w:rPr>
                <w:rFonts w:ascii="Calibri Light" w:hAnsi="Calibri Light" w:cs="Calibri Light"/>
                <w:lang w:val="en-US"/>
              </w:rPr>
            </w:pPr>
            <w:r w:rsidRPr="00305C15">
              <w:rPr>
                <w:lang w:val="bg"/>
              </w:rPr>
              <w:t>Как CRM е от полза за бизнеса</w:t>
            </w:r>
            <w:r w:rsidR="005D21F0" w:rsidRPr="00305C15">
              <w:rPr>
                <w:lang w:val="bg"/>
              </w:rPr>
              <w:t>:</w:t>
            </w:r>
          </w:p>
          <w:p w14:paraId="1BB9C343" w14:textId="6D49E757" w:rsidR="005D21F0" w:rsidRPr="00737A03" w:rsidRDefault="00680257" w:rsidP="00305C15">
            <w:pPr>
              <w:numPr>
                <w:ilvl w:val="0"/>
                <w:numId w:val="36"/>
              </w:numPr>
              <w:jc w:val="both"/>
              <w:rPr>
                <w:rFonts w:ascii="Calibri Light" w:hAnsi="Calibri Light" w:cs="Calibri Light"/>
                <w:b/>
                <w:bCs/>
                <w:lang w:val="en-GB"/>
              </w:rPr>
            </w:pPr>
            <w:r w:rsidRPr="00737A03">
              <w:rPr>
                <w:b/>
                <w:bCs/>
                <w:lang w:val="bg"/>
              </w:rPr>
              <w:t>Чрез наличието на информация като минали покупки и история на взаимодействията</w:t>
            </w:r>
            <w:r w:rsidR="00E20166" w:rsidRPr="00737A03">
              <w:rPr>
                <w:b/>
                <w:bCs/>
                <w:lang w:val="bg"/>
              </w:rPr>
              <w:t>, която е</w:t>
            </w:r>
            <w:r w:rsidRPr="00737A03">
              <w:rPr>
                <w:b/>
                <w:bCs/>
                <w:lang w:val="bg"/>
              </w:rPr>
              <w:t xml:space="preserve"> лесно достъпна може да </w:t>
            </w:r>
            <w:r w:rsidR="00E20166" w:rsidRPr="00737A03">
              <w:rPr>
                <w:b/>
                <w:bCs/>
                <w:lang w:val="bg"/>
              </w:rPr>
              <w:t>бъде от полза</w:t>
            </w:r>
            <w:r w:rsidRPr="00737A03">
              <w:rPr>
                <w:b/>
                <w:bCs/>
                <w:lang w:val="bg"/>
              </w:rPr>
              <w:t xml:space="preserve"> </w:t>
            </w:r>
            <w:r w:rsidR="00E20166" w:rsidRPr="00737A03">
              <w:rPr>
                <w:b/>
                <w:bCs/>
                <w:lang w:val="bg"/>
              </w:rPr>
              <w:t>при</w:t>
            </w:r>
            <w:r w:rsidRPr="00737A03">
              <w:rPr>
                <w:b/>
                <w:bCs/>
                <w:lang w:val="bg"/>
              </w:rPr>
              <w:t xml:space="preserve"> </w:t>
            </w:r>
            <w:r w:rsidR="002F4802" w:rsidRPr="00737A03">
              <w:rPr>
                <w:b/>
                <w:bCs/>
                <w:lang w:val="bg"/>
              </w:rPr>
              <w:t>обслужване</w:t>
            </w:r>
            <w:r w:rsidRPr="00737A03">
              <w:rPr>
                <w:b/>
                <w:bCs/>
                <w:lang w:val="bg"/>
              </w:rPr>
              <w:t xml:space="preserve"> на клиенти да</w:t>
            </w:r>
            <w:r w:rsidR="002F4802" w:rsidRPr="00737A03">
              <w:rPr>
                <w:b/>
                <w:bCs/>
                <w:lang w:val="bg"/>
              </w:rPr>
              <w:t xml:space="preserve"> им бъде</w:t>
            </w:r>
            <w:r w:rsidRPr="00737A03">
              <w:rPr>
                <w:b/>
                <w:bCs/>
                <w:lang w:val="bg"/>
              </w:rPr>
              <w:t xml:space="preserve"> предостав</w:t>
            </w:r>
            <w:r w:rsidR="002F4802" w:rsidRPr="00737A03">
              <w:rPr>
                <w:b/>
                <w:bCs/>
                <w:lang w:val="bg"/>
              </w:rPr>
              <w:t>ено</w:t>
            </w:r>
            <w:r w:rsidRPr="00737A03">
              <w:rPr>
                <w:b/>
                <w:bCs/>
                <w:lang w:val="bg"/>
              </w:rPr>
              <w:t xml:space="preserve"> по-добро и по-бързо обслужване.</w:t>
            </w:r>
          </w:p>
          <w:p w14:paraId="6A5669D5" w14:textId="398EEDA1" w:rsidR="00A42170" w:rsidRPr="00305C15" w:rsidRDefault="00680257" w:rsidP="00305C15">
            <w:pPr>
              <w:numPr>
                <w:ilvl w:val="0"/>
                <w:numId w:val="36"/>
              </w:numPr>
              <w:jc w:val="both"/>
              <w:rPr>
                <w:rFonts w:ascii="Calibri Light" w:hAnsi="Calibri Light" w:cs="Calibri Light"/>
                <w:lang w:val="en-GB"/>
              </w:rPr>
            </w:pPr>
            <w:r w:rsidRPr="00305C15">
              <w:rPr>
                <w:lang w:val="bg"/>
              </w:rPr>
              <w:t>Чрез автоматизация на отрицание</w:t>
            </w:r>
            <w:r w:rsidR="009A5744">
              <w:rPr>
                <w:lang w:val="bg"/>
              </w:rPr>
              <w:t>то</w:t>
            </w:r>
            <w:r w:rsidRPr="00305C15">
              <w:rPr>
                <w:lang w:val="bg"/>
              </w:rPr>
              <w:t xml:space="preserve">, </w:t>
            </w:r>
            <w:r w:rsidR="00AC38E3">
              <w:rPr>
                <w:lang w:val="bg"/>
              </w:rPr>
              <w:t>чрез формиране на</w:t>
            </w:r>
            <w:r w:rsidRPr="00305C15">
              <w:rPr>
                <w:lang w:val="bg"/>
              </w:rPr>
              <w:t xml:space="preserve"> търговск</w:t>
            </w:r>
            <w:r w:rsidR="00AC38E3">
              <w:rPr>
                <w:lang w:val="bg"/>
              </w:rPr>
              <w:t>а</w:t>
            </w:r>
            <w:r w:rsidRPr="00305C15">
              <w:rPr>
                <w:lang w:val="bg"/>
              </w:rPr>
              <w:t xml:space="preserve"> фуния и задачи за поддръжка на клиенти.</w:t>
            </w:r>
          </w:p>
          <w:p w14:paraId="0C8C8591" w14:textId="7D39782F" w:rsidR="00C54B46" w:rsidRPr="00305C15" w:rsidRDefault="00C54B46" w:rsidP="00305C15">
            <w:pPr>
              <w:numPr>
                <w:ilvl w:val="0"/>
                <w:numId w:val="36"/>
              </w:numPr>
              <w:jc w:val="both"/>
              <w:rPr>
                <w:rFonts w:ascii="Calibri Light" w:hAnsi="Calibri Light" w:cs="Calibri Light"/>
                <w:lang w:val="en-GB"/>
              </w:rPr>
            </w:pPr>
            <w:r w:rsidRPr="00305C15">
              <w:rPr>
                <w:lang w:val="bg"/>
              </w:rPr>
              <w:t>Чрез удължаване</w:t>
            </w:r>
            <w:r w:rsidR="000F32B1">
              <w:rPr>
                <w:lang w:val="bg"/>
              </w:rPr>
              <w:t xml:space="preserve"> на</w:t>
            </w:r>
            <w:r w:rsidRPr="00305C15">
              <w:rPr>
                <w:lang w:val="bg"/>
              </w:rPr>
              <w:t xml:space="preserve"> </w:t>
            </w:r>
            <w:r w:rsidR="000F32B1" w:rsidRPr="00305C15">
              <w:rPr>
                <w:lang w:val="bg"/>
              </w:rPr>
              <w:t xml:space="preserve">периода </w:t>
            </w:r>
            <w:r w:rsidRPr="00305C15">
              <w:rPr>
                <w:lang w:val="bg"/>
              </w:rPr>
              <w:t>между покупките.</w:t>
            </w:r>
          </w:p>
          <w:p w14:paraId="5CCBBA43" w14:textId="56CE8FC5" w:rsidR="00FA21F6" w:rsidRPr="00305C15" w:rsidRDefault="00FA21F6" w:rsidP="00305C15">
            <w:pPr>
              <w:numPr>
                <w:ilvl w:val="0"/>
                <w:numId w:val="32"/>
              </w:numPr>
              <w:jc w:val="both"/>
              <w:rPr>
                <w:rFonts w:ascii="Calibri Light" w:hAnsi="Calibri Light" w:cs="Calibri Light"/>
                <w:lang w:val="bg-BG"/>
              </w:rPr>
            </w:pPr>
            <w:r w:rsidRPr="00305C15">
              <w:rPr>
                <w:lang w:val="bg"/>
              </w:rPr>
              <w:t xml:space="preserve">Основните характеристики на управлението на </w:t>
            </w:r>
            <w:r w:rsidR="001D40EC">
              <w:rPr>
                <w:lang w:val="bg"/>
              </w:rPr>
              <w:t>и</w:t>
            </w:r>
            <w:r w:rsidRPr="00305C15">
              <w:rPr>
                <w:lang w:val="bg"/>
              </w:rPr>
              <w:t xml:space="preserve">зноса са: </w:t>
            </w:r>
          </w:p>
          <w:p w14:paraId="1026F11D" w14:textId="56CF8E53" w:rsidR="00A42170" w:rsidRPr="00737A03" w:rsidRDefault="00FA21F6" w:rsidP="00305C15">
            <w:pPr>
              <w:numPr>
                <w:ilvl w:val="0"/>
                <w:numId w:val="37"/>
              </w:numPr>
              <w:jc w:val="both"/>
              <w:rPr>
                <w:rFonts w:ascii="Calibri Light" w:hAnsi="Calibri Light" w:cs="Calibri Light"/>
                <w:b/>
                <w:bCs/>
                <w:lang w:val="bg-BG"/>
              </w:rPr>
            </w:pPr>
            <w:r w:rsidRPr="00737A03">
              <w:rPr>
                <w:b/>
                <w:bCs/>
                <w:lang w:val="bg"/>
              </w:rPr>
              <w:t xml:space="preserve">мащабни операции, систематичен процес, търговски </w:t>
            </w:r>
            <w:r w:rsidR="001D40EC" w:rsidRPr="00737A03">
              <w:rPr>
                <w:b/>
                <w:bCs/>
                <w:lang w:val="bg"/>
              </w:rPr>
              <w:t>бариери</w:t>
            </w:r>
            <w:r w:rsidRPr="00737A03">
              <w:rPr>
                <w:b/>
                <w:bCs/>
                <w:lang w:val="bg"/>
              </w:rPr>
              <w:t xml:space="preserve">, господство на </w:t>
            </w:r>
            <w:r w:rsidR="001D40EC" w:rsidRPr="00737A03">
              <w:rPr>
                <w:b/>
                <w:bCs/>
                <w:lang w:val="bg"/>
              </w:rPr>
              <w:t>мултинационалните корпорации</w:t>
            </w:r>
            <w:r w:rsidRPr="00737A03">
              <w:rPr>
                <w:b/>
                <w:bCs/>
                <w:lang w:val="bg"/>
              </w:rPr>
              <w:t>, господство на развитите страни, валутно регулиране.</w:t>
            </w:r>
          </w:p>
          <w:p w14:paraId="3F2E3ACC" w14:textId="4FD36690" w:rsidR="00FA21F6" w:rsidRPr="0086112C" w:rsidRDefault="00FA21F6" w:rsidP="00305C15">
            <w:pPr>
              <w:numPr>
                <w:ilvl w:val="0"/>
                <w:numId w:val="37"/>
              </w:numPr>
              <w:jc w:val="both"/>
              <w:rPr>
                <w:rFonts w:ascii="Calibri Light" w:hAnsi="Calibri Light" w:cs="Calibri Light"/>
                <w:lang w:val="bg-BG"/>
              </w:rPr>
            </w:pPr>
            <w:r w:rsidRPr="00305C15">
              <w:rPr>
                <w:lang w:val="bg"/>
              </w:rPr>
              <w:t>обичаи, традиции, и вярвания, използвани за разработване на стоки и услуги за района.</w:t>
            </w:r>
          </w:p>
          <w:p w14:paraId="7C1282BE" w14:textId="57A53FA7" w:rsidR="001773EB" w:rsidRPr="0086112C" w:rsidRDefault="001773EB" w:rsidP="00305C15">
            <w:pPr>
              <w:numPr>
                <w:ilvl w:val="0"/>
                <w:numId w:val="37"/>
              </w:numPr>
              <w:jc w:val="both"/>
              <w:rPr>
                <w:rFonts w:ascii="Calibri Light" w:hAnsi="Calibri Light" w:cs="Calibri Light"/>
                <w:lang w:val="bg-BG"/>
              </w:rPr>
            </w:pPr>
            <w:r w:rsidRPr="00305C15">
              <w:rPr>
                <w:lang w:val="bg"/>
              </w:rPr>
              <w:t>доминиращо селско стопанство, непродуктивни разходи, намаляваща възвръщаемост.</w:t>
            </w:r>
          </w:p>
          <w:p w14:paraId="72EE9D61" w14:textId="2879003D" w:rsidR="0071234F" w:rsidRPr="0086112C" w:rsidRDefault="0071234F" w:rsidP="00305C15">
            <w:pPr>
              <w:numPr>
                <w:ilvl w:val="0"/>
                <w:numId w:val="32"/>
              </w:numPr>
              <w:jc w:val="both"/>
              <w:rPr>
                <w:rFonts w:ascii="Calibri Light" w:hAnsi="Calibri Light" w:cs="Calibri Light"/>
                <w:lang w:val="bg-BG"/>
              </w:rPr>
            </w:pPr>
            <w:r w:rsidRPr="00305C15">
              <w:rPr>
                <w:lang w:val="bg"/>
              </w:rPr>
              <w:t>Каква е основната характеристика на СТО?</w:t>
            </w:r>
          </w:p>
          <w:p w14:paraId="153B04DA" w14:textId="26615DB3" w:rsidR="0071234F" w:rsidRPr="0086112C" w:rsidRDefault="0071234F" w:rsidP="00305C15">
            <w:pPr>
              <w:ind w:left="567" w:hanging="425"/>
              <w:jc w:val="both"/>
              <w:rPr>
                <w:rFonts w:ascii="Calibri Light" w:hAnsi="Calibri Light" w:cs="Calibri Light"/>
                <w:lang w:val="bg-BG"/>
              </w:rPr>
            </w:pPr>
            <w:r w:rsidRPr="00305C15">
              <w:rPr>
                <w:lang w:val="bg"/>
              </w:rPr>
              <w:t>а) Тя улеснява икономическото сътрудничество между различните държави</w:t>
            </w:r>
            <w:r w:rsidR="00B91CDB">
              <w:rPr>
                <w:lang w:val="bg"/>
              </w:rPr>
              <w:t>.</w:t>
            </w:r>
          </w:p>
          <w:p w14:paraId="71303306" w14:textId="00545906" w:rsidR="0071234F" w:rsidRPr="0086112C" w:rsidRDefault="0071234F" w:rsidP="00305C15">
            <w:pPr>
              <w:ind w:left="567" w:hanging="425"/>
              <w:jc w:val="both"/>
              <w:rPr>
                <w:rFonts w:ascii="Calibri Light" w:hAnsi="Calibri Light" w:cs="Calibri Light"/>
                <w:lang w:val="bg-BG"/>
              </w:rPr>
            </w:pPr>
            <w:r w:rsidRPr="00305C15">
              <w:rPr>
                <w:lang w:val="bg"/>
              </w:rPr>
              <w:t>б) Тя разрешава спорове между икономически търговски блокове</w:t>
            </w:r>
            <w:r w:rsidR="00B91CDB">
              <w:rPr>
                <w:lang w:val="bg"/>
              </w:rPr>
              <w:t>.</w:t>
            </w:r>
          </w:p>
          <w:p w14:paraId="7D7560D4" w14:textId="3EE7E91C" w:rsidR="0071234F" w:rsidRPr="0086112C" w:rsidRDefault="0071234F" w:rsidP="00305C15">
            <w:pPr>
              <w:ind w:left="567" w:hanging="425"/>
              <w:jc w:val="both"/>
              <w:rPr>
                <w:rFonts w:ascii="Calibri Light" w:hAnsi="Calibri Light" w:cs="Calibri Light"/>
                <w:lang w:val="bg-BG"/>
              </w:rPr>
            </w:pPr>
            <w:r w:rsidRPr="00305C15">
              <w:rPr>
                <w:lang w:val="bg"/>
              </w:rPr>
              <w:t>в) Тя улеснява развитието на по-слабо развитите страни</w:t>
            </w:r>
            <w:r w:rsidR="00B91CDB">
              <w:rPr>
                <w:lang w:val="bg"/>
              </w:rPr>
              <w:t>.</w:t>
            </w:r>
          </w:p>
          <w:p w14:paraId="40FCAC1E" w14:textId="64959A3F" w:rsidR="00A42170" w:rsidRPr="0086112C" w:rsidRDefault="0071234F" w:rsidP="00305C15">
            <w:pPr>
              <w:ind w:left="567" w:hanging="425"/>
              <w:jc w:val="both"/>
              <w:rPr>
                <w:rFonts w:ascii="Calibri Light" w:hAnsi="Calibri Light" w:cs="Calibri Light"/>
                <w:lang w:val="bg-BG"/>
              </w:rPr>
            </w:pPr>
            <w:r w:rsidRPr="00305C15">
              <w:rPr>
                <w:lang w:val="bg"/>
              </w:rPr>
              <w:t xml:space="preserve">г) </w:t>
            </w:r>
            <w:r w:rsidRPr="00737A03">
              <w:rPr>
                <w:b/>
                <w:bCs/>
                <w:lang w:val="bg"/>
              </w:rPr>
              <w:t>Той действа като чадър, ко</w:t>
            </w:r>
            <w:r w:rsidR="00B91CDB" w:rsidRPr="00737A03">
              <w:rPr>
                <w:b/>
                <w:bCs/>
                <w:lang w:val="bg"/>
              </w:rPr>
              <w:t>й</w:t>
            </w:r>
            <w:r w:rsidRPr="00737A03">
              <w:rPr>
                <w:b/>
                <w:bCs/>
                <w:lang w:val="bg"/>
              </w:rPr>
              <w:t xml:space="preserve">то урежда споразуменията, сключени </w:t>
            </w:r>
            <w:r w:rsidR="00A754E5" w:rsidRPr="00737A03">
              <w:rPr>
                <w:b/>
                <w:bCs/>
                <w:lang w:val="bg"/>
              </w:rPr>
              <w:t>от</w:t>
            </w:r>
            <w:r w:rsidRPr="00737A03">
              <w:rPr>
                <w:b/>
                <w:bCs/>
                <w:lang w:val="bg"/>
              </w:rPr>
              <w:t xml:space="preserve"> уругвайския кръг, </w:t>
            </w:r>
            <w:r w:rsidRPr="00737A03">
              <w:rPr>
                <w:b/>
                <w:bCs/>
                <w:lang w:val="bg"/>
              </w:rPr>
              <w:lastRenderedPageBreak/>
              <w:t>като</w:t>
            </w:r>
            <w:r w:rsidRPr="00305C15">
              <w:rPr>
                <w:lang w:val="bg"/>
              </w:rPr>
              <w:t xml:space="preserve"> </w:t>
            </w:r>
            <w:r w:rsidRPr="00737A03">
              <w:rPr>
                <w:b/>
                <w:bCs/>
                <w:lang w:val="bg"/>
              </w:rPr>
              <w:t>крайната цел на организацията е насърчаването на свободната международна търговия</w:t>
            </w:r>
            <w:r w:rsidR="00A754E5" w:rsidRPr="00737A03">
              <w:rPr>
                <w:b/>
                <w:bCs/>
                <w:lang w:val="bg"/>
              </w:rPr>
              <w:t>.</w:t>
            </w:r>
          </w:p>
          <w:p w14:paraId="673FC065" w14:textId="3E69AD13" w:rsidR="0071234F" w:rsidRPr="0086112C" w:rsidRDefault="0071234F" w:rsidP="00305C15">
            <w:pPr>
              <w:ind w:left="567" w:hanging="425"/>
              <w:jc w:val="both"/>
              <w:rPr>
                <w:rFonts w:ascii="Calibri Light" w:hAnsi="Calibri Light" w:cs="Calibri Light"/>
                <w:lang w:val="bg-BG"/>
              </w:rPr>
            </w:pPr>
            <w:r w:rsidRPr="00305C15">
              <w:rPr>
                <w:lang w:val="bg"/>
              </w:rPr>
              <w:t xml:space="preserve">5. </w:t>
            </w:r>
            <w:r w:rsidR="00A754E5">
              <w:rPr>
                <w:lang w:val="bg"/>
              </w:rPr>
              <w:t>Има</w:t>
            </w:r>
            <w:r w:rsidRPr="00305C15">
              <w:rPr>
                <w:lang w:val="bg"/>
              </w:rPr>
              <w:t xml:space="preserve"> ли СТО собствена институционална рамка?</w:t>
            </w:r>
          </w:p>
          <w:p w14:paraId="7F75A892" w14:textId="77219914" w:rsidR="0071234F" w:rsidRPr="0086112C" w:rsidRDefault="0071234F" w:rsidP="00305C15">
            <w:pPr>
              <w:ind w:left="567" w:hanging="425"/>
              <w:jc w:val="both"/>
              <w:rPr>
                <w:rFonts w:ascii="Calibri Light" w:hAnsi="Calibri Light" w:cs="Calibri Light"/>
                <w:lang w:val="bg-BG"/>
              </w:rPr>
            </w:pPr>
            <w:r w:rsidRPr="00305C15">
              <w:rPr>
                <w:lang w:val="bg"/>
              </w:rPr>
              <w:t>а) Не, СТО зависи от съответните рамки на националните правителства</w:t>
            </w:r>
            <w:r w:rsidR="00A754E5">
              <w:rPr>
                <w:lang w:val="bg"/>
              </w:rPr>
              <w:t>.</w:t>
            </w:r>
          </w:p>
          <w:p w14:paraId="6E45AD9C" w14:textId="4C80A3F7" w:rsidR="0071234F" w:rsidRPr="0086112C" w:rsidRDefault="0071234F" w:rsidP="00305C15">
            <w:pPr>
              <w:ind w:left="567" w:hanging="425"/>
              <w:jc w:val="both"/>
              <w:rPr>
                <w:rFonts w:ascii="Calibri Light" w:hAnsi="Calibri Light" w:cs="Calibri Light"/>
                <w:lang w:val="bg-BG"/>
              </w:rPr>
            </w:pPr>
            <w:r w:rsidRPr="00305C15">
              <w:rPr>
                <w:lang w:val="bg"/>
              </w:rPr>
              <w:t>б) Не, СТО предоставя определени институционални договорености, но само ad hoc</w:t>
            </w:r>
            <w:r w:rsidR="00A754E5">
              <w:rPr>
                <w:lang w:val="bg"/>
              </w:rPr>
              <w:t>.</w:t>
            </w:r>
          </w:p>
          <w:p w14:paraId="752A42AB" w14:textId="2CAEE973" w:rsidR="0071234F" w:rsidRPr="0086112C" w:rsidRDefault="0071234F" w:rsidP="00305C15">
            <w:pPr>
              <w:ind w:left="567" w:hanging="425"/>
              <w:jc w:val="both"/>
              <w:rPr>
                <w:rFonts w:ascii="Calibri Light" w:hAnsi="Calibri Light" w:cs="Calibri Light"/>
                <w:lang w:val="bg-BG"/>
              </w:rPr>
            </w:pPr>
            <w:r w:rsidRPr="00305C15">
              <w:rPr>
                <w:lang w:val="bg"/>
              </w:rPr>
              <w:t>в) Да, СТО предоставя определена институционална рамка, която се променя в зависимост от естеството на споразуменията за свободна търговия</w:t>
            </w:r>
            <w:r w:rsidR="0050019A">
              <w:rPr>
                <w:lang w:val="bg"/>
              </w:rPr>
              <w:t>.</w:t>
            </w:r>
          </w:p>
          <w:p w14:paraId="2316E76A" w14:textId="4D3EA2DD" w:rsidR="0071234F" w:rsidRPr="0086112C" w:rsidRDefault="0071234F" w:rsidP="00305C15">
            <w:pPr>
              <w:ind w:left="567" w:hanging="425"/>
              <w:jc w:val="both"/>
              <w:rPr>
                <w:rFonts w:ascii="Calibri Light" w:hAnsi="Calibri Light" w:cs="Calibri Light"/>
                <w:lang w:val="bg-BG"/>
              </w:rPr>
            </w:pPr>
            <w:r w:rsidRPr="00305C15">
              <w:rPr>
                <w:lang w:val="bg"/>
              </w:rPr>
              <w:t xml:space="preserve">г) </w:t>
            </w:r>
            <w:r w:rsidRPr="00737A03">
              <w:rPr>
                <w:b/>
                <w:bCs/>
                <w:lang w:val="bg"/>
              </w:rPr>
              <w:t>Да, СТО предоставя обща институционална рамка за прилагане на споразуменията за свободна търговия</w:t>
            </w:r>
            <w:r w:rsidR="0050019A" w:rsidRPr="00737A03">
              <w:rPr>
                <w:b/>
                <w:bCs/>
                <w:lang w:val="bg"/>
              </w:rPr>
              <w:t>.</w:t>
            </w:r>
          </w:p>
          <w:p w14:paraId="3863D8C9" w14:textId="02A9544C" w:rsidR="00A42170" w:rsidRPr="0086112C" w:rsidRDefault="00A42170" w:rsidP="00305C15">
            <w:pPr>
              <w:jc w:val="both"/>
              <w:rPr>
                <w:rFonts w:ascii="Calibri Light" w:hAnsi="Calibri Light" w:cs="Calibri Light"/>
                <w:lang w:val="bg-BG"/>
              </w:rPr>
            </w:pPr>
          </w:p>
        </w:tc>
      </w:tr>
      <w:tr w:rsidR="00A42170" w:rsidRPr="00305C15" w14:paraId="687A7612"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D23745C"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lastRenderedPageBreak/>
              <w:t>Свързан материал</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33F63D" w14:textId="77777777" w:rsidR="00A42170" w:rsidRPr="00305C15" w:rsidRDefault="00A42170" w:rsidP="00305C15">
            <w:pPr>
              <w:ind w:left="567" w:hanging="425"/>
              <w:jc w:val="both"/>
              <w:rPr>
                <w:rFonts w:ascii="Calibri Light" w:hAnsi="Calibri Light" w:cs="Calibri Light"/>
                <w:lang w:val="en-US"/>
              </w:rPr>
            </w:pPr>
          </w:p>
        </w:tc>
      </w:tr>
      <w:tr w:rsidR="00A42170" w:rsidRPr="00305C15" w14:paraId="482E0E2A"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D1090AB"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Свързани PPT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8ABAD3" w14:textId="77777777" w:rsidR="00A42170" w:rsidRPr="00305C15" w:rsidRDefault="00A42170" w:rsidP="00305C15">
            <w:pPr>
              <w:ind w:left="567" w:hanging="425"/>
              <w:jc w:val="both"/>
              <w:rPr>
                <w:rFonts w:ascii="Calibri Light" w:hAnsi="Calibri Light" w:cs="Calibri Light"/>
                <w:lang w:val="en-GB"/>
              </w:rPr>
            </w:pPr>
          </w:p>
        </w:tc>
      </w:tr>
      <w:tr w:rsidR="00A42170" w:rsidRPr="00305C15" w14:paraId="66BB39FF"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9E22F1C" w14:textId="77777777" w:rsidR="00A42170" w:rsidRPr="00305C15" w:rsidRDefault="00A42170" w:rsidP="00305C15">
            <w:pPr>
              <w:ind w:left="567" w:hanging="425"/>
              <w:jc w:val="both"/>
              <w:rPr>
                <w:rFonts w:ascii="Calibri Light" w:hAnsi="Calibri Light" w:cs="Calibri Light"/>
                <w:b/>
                <w:color w:val="FFFFFF"/>
                <w:lang w:val="en-GB"/>
              </w:rPr>
            </w:pPr>
            <w:r w:rsidRPr="00305C15">
              <w:rPr>
                <w:b/>
                <w:color w:val="FFFFFF"/>
                <w:lang w:val="bg"/>
              </w:rPr>
              <w:t>Препратка връзка</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361472" w14:textId="77777777" w:rsidR="00A42170" w:rsidRPr="00305C15" w:rsidRDefault="00A42170" w:rsidP="00305C15">
            <w:pPr>
              <w:ind w:left="567" w:hanging="425"/>
              <w:jc w:val="both"/>
              <w:rPr>
                <w:rFonts w:ascii="Calibri Light" w:hAnsi="Calibri Light" w:cs="Calibri Light"/>
                <w:lang w:val="en-GB"/>
              </w:rPr>
            </w:pPr>
          </w:p>
        </w:tc>
      </w:tr>
      <w:tr w:rsidR="00A42170" w:rsidRPr="00305C15" w14:paraId="0B47361F" w14:textId="77777777" w:rsidTr="00B43C8E">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7ACCAA6" w14:textId="77777777" w:rsidR="00A42170" w:rsidRPr="0086112C" w:rsidRDefault="00A42170" w:rsidP="00305C15">
            <w:pPr>
              <w:ind w:left="567" w:hanging="425"/>
              <w:jc w:val="both"/>
              <w:rPr>
                <w:rFonts w:ascii="Calibri Light" w:hAnsi="Calibri Light" w:cs="Calibri Light"/>
                <w:b/>
                <w:color w:val="FFFFFF"/>
              </w:rPr>
            </w:pPr>
            <w:r w:rsidRPr="00305C15">
              <w:rPr>
                <w:b/>
                <w:color w:val="FFFFFF"/>
                <w:lang w:val="bg"/>
              </w:rPr>
              <w:t>Видео във формат YouTube (ако има такъв)</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AE70211" w14:textId="77777777" w:rsidR="00A42170" w:rsidRPr="0086112C" w:rsidRDefault="00A42170" w:rsidP="00305C15">
            <w:pPr>
              <w:ind w:left="567" w:hanging="425"/>
              <w:jc w:val="both"/>
              <w:rPr>
                <w:rFonts w:ascii="Calibri Light" w:hAnsi="Calibri Light" w:cs="Calibri Light"/>
              </w:rPr>
            </w:pPr>
          </w:p>
        </w:tc>
      </w:tr>
    </w:tbl>
    <w:p w14:paraId="45F40520" w14:textId="77777777" w:rsidR="00A42170" w:rsidRPr="0086112C" w:rsidRDefault="00A42170" w:rsidP="00305C15">
      <w:pPr>
        <w:ind w:left="567" w:hanging="425"/>
        <w:jc w:val="both"/>
        <w:rPr>
          <w:rFonts w:ascii="Calibri Light" w:hAnsi="Calibri Light" w:cs="Calibri Light"/>
          <w:lang w:eastAsia="en-GB"/>
        </w:rPr>
      </w:pPr>
    </w:p>
    <w:p w14:paraId="3D756980" w14:textId="77777777" w:rsidR="00A42170" w:rsidRPr="0086112C" w:rsidRDefault="00A42170" w:rsidP="00305C15">
      <w:pPr>
        <w:ind w:left="567" w:hanging="425"/>
        <w:jc w:val="both"/>
        <w:rPr>
          <w:rFonts w:ascii="Calibri Light" w:hAnsi="Calibri Light" w:cs="Calibri Light"/>
        </w:rPr>
      </w:pPr>
    </w:p>
    <w:p w14:paraId="5C5D3B46" w14:textId="77777777" w:rsidR="00A42170" w:rsidRPr="0086112C" w:rsidRDefault="00A42170" w:rsidP="00305C15">
      <w:pPr>
        <w:ind w:left="567" w:hanging="425"/>
        <w:jc w:val="both"/>
        <w:rPr>
          <w:rFonts w:ascii="Calibri Light" w:hAnsi="Calibri Light" w:cs="Calibri Light"/>
        </w:rPr>
      </w:pPr>
    </w:p>
    <w:p w14:paraId="7FB7DC38" w14:textId="10679963" w:rsidR="004844BB" w:rsidRPr="0086112C" w:rsidRDefault="004844BB" w:rsidP="00305C15">
      <w:pPr>
        <w:ind w:left="567" w:hanging="425"/>
        <w:jc w:val="both"/>
        <w:rPr>
          <w:rFonts w:ascii="Calibri Light" w:hAnsi="Calibri Light" w:cs="Calibri Light"/>
        </w:rPr>
      </w:pPr>
    </w:p>
    <w:sectPr w:rsidR="004844BB" w:rsidRPr="0086112C" w:rsidSect="00C12041">
      <w:headerReference w:type="default" r:id="rId26"/>
      <w:footerReference w:type="default" r:id="rId27"/>
      <w:pgSz w:w="11906" w:h="16838" w:code="9"/>
      <w:pgMar w:top="1440" w:right="2880" w:bottom="1440" w:left="2880" w:header="540" w:footer="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User" w:date="2022-01-04T10:25:00Z" w:initials="U">
    <w:p w14:paraId="1EBFFC43" w14:textId="77777777" w:rsidR="005602E1" w:rsidRPr="003A47E2" w:rsidRDefault="005602E1" w:rsidP="005602E1">
      <w:pPr>
        <w:pStyle w:val="Textocomentario"/>
        <w:rPr>
          <w:lang w:val="bg-BG"/>
        </w:rPr>
      </w:pPr>
      <w:r>
        <w:rPr>
          <w:rStyle w:val="Refdecomentario"/>
          <w:lang w:val="bg"/>
        </w:rPr>
        <w:annotationRef/>
      </w:r>
      <w:r>
        <w:rPr>
          <w:lang w:val="bg"/>
        </w:rPr>
        <w:t>Предлагам да преместим тази секция по-надолу в отделен модул</w:t>
      </w:r>
    </w:p>
  </w:comment>
  <w:comment w:id="6" w:author="User" w:date="2022-01-04T10:25:00Z" w:initials="U">
    <w:p w14:paraId="463D4E3C" w14:textId="77777777" w:rsidR="005602E1" w:rsidRPr="00BA0F1F" w:rsidRDefault="005602E1" w:rsidP="005602E1">
      <w:pPr>
        <w:pStyle w:val="Textocomentario"/>
        <w:rPr>
          <w:lang w:val="bg-BG"/>
        </w:rPr>
      </w:pPr>
      <w:r>
        <w:rPr>
          <w:rStyle w:val="Refdecomentario"/>
          <w:lang w:val="bg"/>
        </w:rPr>
        <w:annotationRef/>
      </w:r>
      <w:r>
        <w:rPr>
          <w:lang w:val="bg"/>
        </w:rPr>
        <w:t>Това има ли смисъл да съществува като втора точка или директно да продължим след световната търговска организация с пазара на ЕС?</w:t>
      </w:r>
    </w:p>
  </w:comment>
  <w:comment w:id="8" w:author="User" w:date="2022-01-03T10:49:00Z" w:initials="U">
    <w:p w14:paraId="701A106F" w14:textId="288F4AB4" w:rsidR="00CD4911" w:rsidRPr="00CD4911" w:rsidRDefault="00CD4911">
      <w:pPr>
        <w:pStyle w:val="Textocomentario"/>
        <w:rPr>
          <w:lang w:val="bg-BG"/>
        </w:rPr>
      </w:pPr>
      <w:r>
        <w:rPr>
          <w:rStyle w:val="Refdecomentario"/>
          <w:lang w:val="bg"/>
        </w:rPr>
        <w:annotationRef/>
      </w:r>
      <w:r>
        <w:rPr>
          <w:lang w:val="bg"/>
        </w:rPr>
        <w:t>Тази тема според мен е много подробно разработена и голяма като обем</w:t>
      </w:r>
      <w:r w:rsidR="00440BC9">
        <w:rPr>
          <w:lang w:val="bg"/>
        </w:rPr>
        <w:t>. Може би трябва да се съкрати ако надвишаваме обема според заданието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FFC43" w15:done="0"/>
  <w15:commentEx w15:paraId="463D4E3C" w15:done="0"/>
  <w15:commentEx w15:paraId="701A1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01A" w16cex:dateUtc="2022-01-04T08:25:00Z"/>
  <w16cex:commentExtensible w16cex:durableId="25D2F01B" w16cex:dateUtc="2022-01-04T08:25:00Z"/>
  <w16cex:commentExtensible w16cex:durableId="257D5347" w16cex:dateUtc="2022-01-03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FFC43" w16cid:durableId="25D2F01A"/>
  <w16cid:commentId w16cid:paraId="463D4E3C" w16cid:durableId="25D2F01B"/>
  <w16cid:commentId w16cid:paraId="701A106F" w16cid:durableId="257D5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3980" w14:textId="77777777" w:rsidR="002D240F" w:rsidRDefault="002D240F">
      <w:r>
        <w:rPr>
          <w:lang w:val="bg"/>
        </w:rPr>
        <w:separator/>
      </w:r>
    </w:p>
  </w:endnote>
  <w:endnote w:type="continuationSeparator" w:id="0">
    <w:p w14:paraId="34923BBE" w14:textId="77777777" w:rsidR="002D240F" w:rsidRDefault="002D240F">
      <w:r>
        <w:rPr>
          <w:lang w:val="bg"/>
        </w:rPr>
        <w:continuationSeparator/>
      </w:r>
    </w:p>
  </w:endnote>
  <w:endnote w:type="continuationNotice" w:id="1">
    <w:p w14:paraId="5C2693AE" w14:textId="77777777" w:rsidR="002D240F" w:rsidRDefault="002D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F4" w14:textId="08F5E687" w:rsidR="004A287D" w:rsidRDefault="002D240F" w:rsidP="008A3CB5">
    <w:pPr>
      <w:pStyle w:val="Piedepgina"/>
      <w:ind w:left="-993"/>
      <w:rPr>
        <w:rFonts w:ascii="Calibri Light" w:hAnsi="Calibri Light" w:cs="Calibri Light"/>
        <w:sz w:val="20"/>
        <w:szCs w:val="20"/>
        <w:lang w:val="en-GB"/>
      </w:rPr>
    </w:pPr>
    <w:r>
      <w:rPr>
        <w:noProof/>
        <w:sz w:val="20"/>
        <w:szCs w:val="20"/>
        <w:lang w:val="bg"/>
      </w:rPr>
      <w:pict w14:anchorId="5DA7C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1">
          <v:imagedata r:id="rId1" o:title=""/>
        </v:shape>
      </w:pict>
    </w:r>
    <w:r w:rsidR="008A3CB5" w:rsidRPr="008A3CB5">
      <w:rPr>
        <w:sz w:val="20"/>
        <w:szCs w:val="20"/>
        <w:lang w:val="bg"/>
      </w:rPr>
      <w:t xml:space="preserve">С подкрепата на програмата "Еразъм+" на Европейския съюз. Настоящият документ и съдържанието му отразяват възгледите само на авторите, като Комисията не може да носи отговорност за каквато и да е употреба, която може да бъде направена </w:t>
    </w:r>
    <w:r w:rsidR="00480E44">
      <w:rPr>
        <w:sz w:val="20"/>
        <w:szCs w:val="20"/>
        <w:lang w:val="bg"/>
      </w:rPr>
      <w:t>на</w:t>
    </w:r>
    <w:r w:rsidR="008A3CB5" w:rsidRPr="008A3CB5">
      <w:rPr>
        <w:sz w:val="20"/>
        <w:szCs w:val="20"/>
        <w:lang w:val="bg"/>
      </w:rPr>
      <w:t xml:space="preserve"> съдържащата се в него информация.</w:t>
    </w:r>
    <w:r w:rsidR="008E0F20" w:rsidRPr="008E0F20">
      <w:rPr>
        <w:sz w:val="20"/>
        <w:szCs w:val="20"/>
        <w:lang w:val="bg"/>
      </w:rPr>
      <w:tab/>
    </w:r>
  </w:p>
  <w:p w14:paraId="1DD1371A"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D399" w14:textId="77777777" w:rsidR="002D240F" w:rsidRDefault="002D240F">
      <w:r>
        <w:rPr>
          <w:lang w:val="bg"/>
        </w:rPr>
        <w:separator/>
      </w:r>
    </w:p>
  </w:footnote>
  <w:footnote w:type="continuationSeparator" w:id="0">
    <w:p w14:paraId="5967D39E" w14:textId="77777777" w:rsidR="002D240F" w:rsidRDefault="002D240F">
      <w:r>
        <w:rPr>
          <w:lang w:val="bg"/>
        </w:rPr>
        <w:continuationSeparator/>
      </w:r>
    </w:p>
  </w:footnote>
  <w:footnote w:type="continuationNotice" w:id="1">
    <w:p w14:paraId="28BF36B2" w14:textId="77777777" w:rsidR="002D240F" w:rsidRDefault="002D2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0AA" w14:textId="77777777" w:rsidR="00D435A6" w:rsidRDefault="00737A03" w:rsidP="00D435A6">
    <w:pPr>
      <w:jc w:val="center"/>
    </w:pPr>
    <w:r>
      <w:rPr>
        <w:lang w:val="bg"/>
      </w:rPr>
      <w:pict w14:anchorId="55701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33.8pt">
          <v:imagedata r:id="rId1" o:title=""/>
        </v:shape>
      </w:pict>
    </w:r>
  </w:p>
  <w:p w14:paraId="3253C0AE"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b/>
        <w:bCs/>
        <w:lang w:val="bg"/>
      </w:rPr>
      <w:t>www.</w:t>
    </w:r>
    <w:r w:rsidR="00216CCB">
      <w:rPr>
        <w:b/>
        <w:bCs/>
        <w:lang w:val="bg"/>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C52"/>
    <w:multiLevelType w:val="hybridMultilevel"/>
    <w:tmpl w:val="3864B054"/>
    <w:lvl w:ilvl="0" w:tplc="0409000D">
      <w:start w:val="1"/>
      <w:numFmt w:val="bullet"/>
      <w:lvlText w:val=""/>
      <w:lvlJc w:val="left"/>
      <w:pPr>
        <w:ind w:left="720" w:hanging="360"/>
      </w:pPr>
      <w:rPr>
        <w:rFonts w:ascii="Wingdings" w:hAnsi="Wingdings" w:hint="default"/>
      </w:rPr>
    </w:lvl>
    <w:lvl w:ilvl="1" w:tplc="1B3C1A6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375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D1"/>
    <w:multiLevelType w:val="hybridMultilevel"/>
    <w:tmpl w:val="627EED4C"/>
    <w:lvl w:ilvl="0" w:tplc="8096758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3E3FA9"/>
    <w:multiLevelType w:val="hybridMultilevel"/>
    <w:tmpl w:val="4964023E"/>
    <w:lvl w:ilvl="0" w:tplc="331033D8">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82B6751"/>
    <w:multiLevelType w:val="hybridMultilevel"/>
    <w:tmpl w:val="93FA5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B603B"/>
    <w:multiLevelType w:val="hybridMultilevel"/>
    <w:tmpl w:val="FD10ECAA"/>
    <w:lvl w:ilvl="0" w:tplc="A3D83D52">
      <w:start w:val="2"/>
      <w:numFmt w:val="bullet"/>
      <w:lvlText w:val="-"/>
      <w:lvlJc w:val="left"/>
      <w:rPr>
        <w:rFonts w:ascii="Calibri" w:eastAsia="Calibri" w:hAnsi="Calibri" w:cs="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B8B6B2A"/>
    <w:multiLevelType w:val="hybridMultilevel"/>
    <w:tmpl w:val="FDD2106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F7E69A6"/>
    <w:multiLevelType w:val="hybridMultilevel"/>
    <w:tmpl w:val="73E0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1919"/>
    <w:multiLevelType w:val="multilevel"/>
    <w:tmpl w:val="2424D9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F3748"/>
    <w:multiLevelType w:val="hybridMultilevel"/>
    <w:tmpl w:val="D592BE3E"/>
    <w:lvl w:ilvl="0" w:tplc="863E89AA">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914B1C"/>
    <w:multiLevelType w:val="hybridMultilevel"/>
    <w:tmpl w:val="5142DC0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2F95125"/>
    <w:multiLevelType w:val="hybridMultilevel"/>
    <w:tmpl w:val="86A0325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A7833"/>
    <w:multiLevelType w:val="hybridMultilevel"/>
    <w:tmpl w:val="13200D2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A483F3C"/>
    <w:multiLevelType w:val="hybridMultilevel"/>
    <w:tmpl w:val="84A8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C1F11"/>
    <w:multiLevelType w:val="hybridMultilevel"/>
    <w:tmpl w:val="F6D0356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06D1249"/>
    <w:multiLevelType w:val="hybridMultilevel"/>
    <w:tmpl w:val="DF2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A1C27"/>
    <w:multiLevelType w:val="multilevel"/>
    <w:tmpl w:val="7F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3164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50AF4"/>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B034F"/>
    <w:multiLevelType w:val="hybridMultilevel"/>
    <w:tmpl w:val="96A6ED7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2623592"/>
    <w:multiLevelType w:val="hybridMultilevel"/>
    <w:tmpl w:val="071C3248"/>
    <w:lvl w:ilvl="0" w:tplc="A7EC73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8AB4ED4"/>
    <w:multiLevelType w:val="multilevel"/>
    <w:tmpl w:val="C61C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A533C3"/>
    <w:multiLevelType w:val="multilevel"/>
    <w:tmpl w:val="451005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82D37"/>
    <w:multiLevelType w:val="hybridMultilevel"/>
    <w:tmpl w:val="D43C7A98"/>
    <w:lvl w:ilvl="0" w:tplc="2F3094F4">
      <w:start w:val="2"/>
      <w:numFmt w:val="bullet"/>
      <w:lvlText w:val="-"/>
      <w:lvlJc w:val="left"/>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6B21E4"/>
    <w:multiLevelType w:val="multilevel"/>
    <w:tmpl w:val="2424D9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23AED"/>
    <w:multiLevelType w:val="hybridMultilevel"/>
    <w:tmpl w:val="93FA51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E010D20"/>
    <w:multiLevelType w:val="hybridMultilevel"/>
    <w:tmpl w:val="7046C3B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62051DF8"/>
    <w:multiLevelType w:val="hybridMultilevel"/>
    <w:tmpl w:val="E7985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67F0F"/>
    <w:multiLevelType w:val="hybridMultilevel"/>
    <w:tmpl w:val="E8F8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E58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767C84"/>
    <w:multiLevelType w:val="hybridMultilevel"/>
    <w:tmpl w:val="3E70A5A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33A524F"/>
    <w:multiLevelType w:val="hybridMultilevel"/>
    <w:tmpl w:val="BF522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93FA5"/>
    <w:multiLevelType w:val="hybridMultilevel"/>
    <w:tmpl w:val="D2A6CAA6"/>
    <w:lvl w:ilvl="0" w:tplc="E8BC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47992993">
    <w:abstractNumId w:val="10"/>
  </w:num>
  <w:num w:numId="2" w16cid:durableId="1200243954">
    <w:abstractNumId w:val="32"/>
  </w:num>
  <w:num w:numId="3" w16cid:durableId="1472361592">
    <w:abstractNumId w:val="36"/>
  </w:num>
  <w:num w:numId="4" w16cid:durableId="1060786102">
    <w:abstractNumId w:val="18"/>
  </w:num>
  <w:num w:numId="5" w16cid:durableId="1118765293">
    <w:abstractNumId w:val="13"/>
  </w:num>
  <w:num w:numId="6" w16cid:durableId="1065908418">
    <w:abstractNumId w:val="28"/>
  </w:num>
  <w:num w:numId="7" w16cid:durableId="698622835">
    <w:abstractNumId w:val="5"/>
  </w:num>
  <w:num w:numId="8" w16cid:durableId="1734815671">
    <w:abstractNumId w:val="26"/>
  </w:num>
  <w:num w:numId="9" w16cid:durableId="1525435035">
    <w:abstractNumId w:val="4"/>
  </w:num>
  <w:num w:numId="10" w16cid:durableId="985628506">
    <w:abstractNumId w:val="33"/>
  </w:num>
  <w:num w:numId="11" w16cid:durableId="1025640538">
    <w:abstractNumId w:val="1"/>
  </w:num>
  <w:num w:numId="12" w16cid:durableId="1929120255">
    <w:abstractNumId w:val="25"/>
  </w:num>
  <w:num w:numId="13" w16cid:durableId="247545720">
    <w:abstractNumId w:val="24"/>
  </w:num>
  <w:num w:numId="14" w16cid:durableId="1547915321">
    <w:abstractNumId w:val="19"/>
  </w:num>
  <w:num w:numId="15" w16cid:durableId="546183813">
    <w:abstractNumId w:val="9"/>
  </w:num>
  <w:num w:numId="16" w16cid:durableId="1669937873">
    <w:abstractNumId w:val="3"/>
  </w:num>
  <w:num w:numId="17" w16cid:durableId="414939594">
    <w:abstractNumId w:val="2"/>
  </w:num>
  <w:num w:numId="18" w16cid:durableId="1957440671">
    <w:abstractNumId w:val="37"/>
  </w:num>
  <w:num w:numId="19" w16cid:durableId="18165445">
    <w:abstractNumId w:val="6"/>
  </w:num>
  <w:num w:numId="20" w16cid:durableId="1319654444">
    <w:abstractNumId w:val="34"/>
  </w:num>
  <w:num w:numId="21" w16cid:durableId="522211688">
    <w:abstractNumId w:val="11"/>
  </w:num>
  <w:num w:numId="22" w16cid:durableId="374473886">
    <w:abstractNumId w:val="31"/>
  </w:num>
  <w:num w:numId="23" w16cid:durableId="882132872">
    <w:abstractNumId w:val="22"/>
  </w:num>
  <w:num w:numId="24" w16cid:durableId="990863034">
    <w:abstractNumId w:val="17"/>
  </w:num>
  <w:num w:numId="25" w16cid:durableId="844128893">
    <w:abstractNumId w:val="16"/>
  </w:num>
  <w:num w:numId="26" w16cid:durableId="1796413425">
    <w:abstractNumId w:val="14"/>
  </w:num>
  <w:num w:numId="27" w16cid:durableId="2128889448">
    <w:abstractNumId w:val="21"/>
  </w:num>
  <w:num w:numId="28" w16cid:durableId="190193215">
    <w:abstractNumId w:val="8"/>
  </w:num>
  <w:num w:numId="29" w16cid:durableId="1321232495">
    <w:abstractNumId w:val="27"/>
  </w:num>
  <w:num w:numId="30" w16cid:durableId="743526514">
    <w:abstractNumId w:val="7"/>
  </w:num>
  <w:num w:numId="31" w16cid:durableId="1548374522">
    <w:abstractNumId w:val="20"/>
  </w:num>
  <w:num w:numId="32" w16cid:durableId="994145118">
    <w:abstractNumId w:val="15"/>
  </w:num>
  <w:num w:numId="33" w16cid:durableId="498623335">
    <w:abstractNumId w:val="0"/>
  </w:num>
  <w:num w:numId="34" w16cid:durableId="1253397693">
    <w:abstractNumId w:val="30"/>
  </w:num>
  <w:num w:numId="35" w16cid:durableId="1173228567">
    <w:abstractNumId w:val="35"/>
  </w:num>
  <w:num w:numId="36" w16cid:durableId="217594569">
    <w:abstractNumId w:val="29"/>
  </w:num>
  <w:num w:numId="37" w16cid:durableId="2036882146">
    <w:abstractNumId w:val="12"/>
  </w:num>
  <w:num w:numId="38" w16cid:durableId="20518077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2B4"/>
    <w:rsid w:val="00000C5B"/>
    <w:rsid w:val="0000174A"/>
    <w:rsid w:val="00012DFB"/>
    <w:rsid w:val="00014285"/>
    <w:rsid w:val="00021B36"/>
    <w:rsid w:val="000231CF"/>
    <w:rsid w:val="000269F1"/>
    <w:rsid w:val="00032A88"/>
    <w:rsid w:val="00047026"/>
    <w:rsid w:val="00053921"/>
    <w:rsid w:val="000633A7"/>
    <w:rsid w:val="00067A2B"/>
    <w:rsid w:val="00076F5B"/>
    <w:rsid w:val="00090C57"/>
    <w:rsid w:val="00091BCF"/>
    <w:rsid w:val="0009332D"/>
    <w:rsid w:val="000A36B8"/>
    <w:rsid w:val="000A4B5A"/>
    <w:rsid w:val="000A55AE"/>
    <w:rsid w:val="000B1D6D"/>
    <w:rsid w:val="000C7283"/>
    <w:rsid w:val="000C7A34"/>
    <w:rsid w:val="000D1A45"/>
    <w:rsid w:val="000D663C"/>
    <w:rsid w:val="000E47F4"/>
    <w:rsid w:val="000F32B1"/>
    <w:rsid w:val="00107192"/>
    <w:rsid w:val="00116CBB"/>
    <w:rsid w:val="00121006"/>
    <w:rsid w:val="00121822"/>
    <w:rsid w:val="00123A15"/>
    <w:rsid w:val="001317D9"/>
    <w:rsid w:val="00143330"/>
    <w:rsid w:val="001437ED"/>
    <w:rsid w:val="001773A1"/>
    <w:rsid w:val="001773EB"/>
    <w:rsid w:val="00182CF4"/>
    <w:rsid w:val="001A0E9E"/>
    <w:rsid w:val="001A1C65"/>
    <w:rsid w:val="001A3000"/>
    <w:rsid w:val="001A3011"/>
    <w:rsid w:val="001B0C04"/>
    <w:rsid w:val="001C7A00"/>
    <w:rsid w:val="001D0AF4"/>
    <w:rsid w:val="001D40EC"/>
    <w:rsid w:val="001E5B88"/>
    <w:rsid w:val="001E6CCD"/>
    <w:rsid w:val="001F799D"/>
    <w:rsid w:val="00216CCB"/>
    <w:rsid w:val="0022118C"/>
    <w:rsid w:val="00223ADF"/>
    <w:rsid w:val="00224484"/>
    <w:rsid w:val="00225B85"/>
    <w:rsid w:val="00241363"/>
    <w:rsid w:val="002454E1"/>
    <w:rsid w:val="0026660C"/>
    <w:rsid w:val="00275955"/>
    <w:rsid w:val="00285FEF"/>
    <w:rsid w:val="00291176"/>
    <w:rsid w:val="002A2502"/>
    <w:rsid w:val="002A4B58"/>
    <w:rsid w:val="002B6516"/>
    <w:rsid w:val="002B733F"/>
    <w:rsid w:val="002C7440"/>
    <w:rsid w:val="002C7C81"/>
    <w:rsid w:val="002D240F"/>
    <w:rsid w:val="002E2821"/>
    <w:rsid w:val="002F4802"/>
    <w:rsid w:val="002F5BD4"/>
    <w:rsid w:val="00305C15"/>
    <w:rsid w:val="00310979"/>
    <w:rsid w:val="00321EE9"/>
    <w:rsid w:val="00324C74"/>
    <w:rsid w:val="00336ADF"/>
    <w:rsid w:val="00341654"/>
    <w:rsid w:val="0035341B"/>
    <w:rsid w:val="00354731"/>
    <w:rsid w:val="00365F0C"/>
    <w:rsid w:val="003704E5"/>
    <w:rsid w:val="00375DFB"/>
    <w:rsid w:val="0039233B"/>
    <w:rsid w:val="003A1D52"/>
    <w:rsid w:val="003A47E2"/>
    <w:rsid w:val="003A4F36"/>
    <w:rsid w:val="003A7F10"/>
    <w:rsid w:val="003B6F3D"/>
    <w:rsid w:val="003E08BC"/>
    <w:rsid w:val="003E27A7"/>
    <w:rsid w:val="003E56BC"/>
    <w:rsid w:val="003F3B07"/>
    <w:rsid w:val="00403281"/>
    <w:rsid w:val="00404810"/>
    <w:rsid w:val="00407C1F"/>
    <w:rsid w:val="0041729E"/>
    <w:rsid w:val="00420293"/>
    <w:rsid w:val="00421D2A"/>
    <w:rsid w:val="00425EB1"/>
    <w:rsid w:val="004378E7"/>
    <w:rsid w:val="00440BC9"/>
    <w:rsid w:val="004474C0"/>
    <w:rsid w:val="00450F00"/>
    <w:rsid w:val="004549C1"/>
    <w:rsid w:val="00462AC1"/>
    <w:rsid w:val="004662BB"/>
    <w:rsid w:val="00467521"/>
    <w:rsid w:val="00480E44"/>
    <w:rsid w:val="004844BB"/>
    <w:rsid w:val="00484D10"/>
    <w:rsid w:val="00487EE8"/>
    <w:rsid w:val="004940D5"/>
    <w:rsid w:val="00496896"/>
    <w:rsid w:val="004A287D"/>
    <w:rsid w:val="004B48FE"/>
    <w:rsid w:val="004C5C1F"/>
    <w:rsid w:val="004E2AFB"/>
    <w:rsid w:val="004E6377"/>
    <w:rsid w:val="004F5F39"/>
    <w:rsid w:val="0050019A"/>
    <w:rsid w:val="00516266"/>
    <w:rsid w:val="00517970"/>
    <w:rsid w:val="0053147A"/>
    <w:rsid w:val="00536ECF"/>
    <w:rsid w:val="00545FA5"/>
    <w:rsid w:val="0054795F"/>
    <w:rsid w:val="005601DC"/>
    <w:rsid w:val="005602E1"/>
    <w:rsid w:val="0056280D"/>
    <w:rsid w:val="005642A2"/>
    <w:rsid w:val="005723BF"/>
    <w:rsid w:val="005857EB"/>
    <w:rsid w:val="00590AFF"/>
    <w:rsid w:val="00592260"/>
    <w:rsid w:val="005A0CC2"/>
    <w:rsid w:val="005A6A7F"/>
    <w:rsid w:val="005B0DA7"/>
    <w:rsid w:val="005B1D1B"/>
    <w:rsid w:val="005C6697"/>
    <w:rsid w:val="005D172C"/>
    <w:rsid w:val="005D21F0"/>
    <w:rsid w:val="005E038E"/>
    <w:rsid w:val="005E3CA6"/>
    <w:rsid w:val="005E6F1B"/>
    <w:rsid w:val="005F1EA7"/>
    <w:rsid w:val="005F2212"/>
    <w:rsid w:val="005F2646"/>
    <w:rsid w:val="005F409E"/>
    <w:rsid w:val="006037DF"/>
    <w:rsid w:val="006054C8"/>
    <w:rsid w:val="0061276A"/>
    <w:rsid w:val="00613A65"/>
    <w:rsid w:val="00616F81"/>
    <w:rsid w:val="00622311"/>
    <w:rsid w:val="00625C7E"/>
    <w:rsid w:val="00637080"/>
    <w:rsid w:val="00637702"/>
    <w:rsid w:val="00640B17"/>
    <w:rsid w:val="00644F44"/>
    <w:rsid w:val="006465C0"/>
    <w:rsid w:val="00656513"/>
    <w:rsid w:val="00660162"/>
    <w:rsid w:val="00661F1D"/>
    <w:rsid w:val="00670A2B"/>
    <w:rsid w:val="00673099"/>
    <w:rsid w:val="00677049"/>
    <w:rsid w:val="00680257"/>
    <w:rsid w:val="00683575"/>
    <w:rsid w:val="006846E4"/>
    <w:rsid w:val="006A10CE"/>
    <w:rsid w:val="006A13BD"/>
    <w:rsid w:val="006C385E"/>
    <w:rsid w:val="006D57D2"/>
    <w:rsid w:val="006E458D"/>
    <w:rsid w:val="006F0381"/>
    <w:rsid w:val="006F6AAA"/>
    <w:rsid w:val="007035BF"/>
    <w:rsid w:val="00710835"/>
    <w:rsid w:val="0071234F"/>
    <w:rsid w:val="00716CA5"/>
    <w:rsid w:val="00717B2E"/>
    <w:rsid w:val="007212D8"/>
    <w:rsid w:val="00724C77"/>
    <w:rsid w:val="00735071"/>
    <w:rsid w:val="00737A03"/>
    <w:rsid w:val="00741646"/>
    <w:rsid w:val="00743225"/>
    <w:rsid w:val="00754359"/>
    <w:rsid w:val="007629F0"/>
    <w:rsid w:val="007634C2"/>
    <w:rsid w:val="00775796"/>
    <w:rsid w:val="0078037C"/>
    <w:rsid w:val="00784335"/>
    <w:rsid w:val="00786CEC"/>
    <w:rsid w:val="007927D6"/>
    <w:rsid w:val="0079635A"/>
    <w:rsid w:val="007A253E"/>
    <w:rsid w:val="007B2954"/>
    <w:rsid w:val="007C20F8"/>
    <w:rsid w:val="007F4869"/>
    <w:rsid w:val="007F7CFC"/>
    <w:rsid w:val="00800206"/>
    <w:rsid w:val="00801E71"/>
    <w:rsid w:val="008138C4"/>
    <w:rsid w:val="00821F50"/>
    <w:rsid w:val="008369D4"/>
    <w:rsid w:val="00837EF4"/>
    <w:rsid w:val="00840DB7"/>
    <w:rsid w:val="008463EB"/>
    <w:rsid w:val="0085087D"/>
    <w:rsid w:val="008571BA"/>
    <w:rsid w:val="0086092D"/>
    <w:rsid w:val="0086112C"/>
    <w:rsid w:val="008660A4"/>
    <w:rsid w:val="008677B3"/>
    <w:rsid w:val="00884424"/>
    <w:rsid w:val="0088676C"/>
    <w:rsid w:val="00892C3C"/>
    <w:rsid w:val="008A3CB5"/>
    <w:rsid w:val="008A6CED"/>
    <w:rsid w:val="008A7AC2"/>
    <w:rsid w:val="008C626B"/>
    <w:rsid w:val="008D7736"/>
    <w:rsid w:val="008E0F20"/>
    <w:rsid w:val="008F56CB"/>
    <w:rsid w:val="008F682C"/>
    <w:rsid w:val="00900F69"/>
    <w:rsid w:val="009152D2"/>
    <w:rsid w:val="0091563E"/>
    <w:rsid w:val="00916F2B"/>
    <w:rsid w:val="009205D9"/>
    <w:rsid w:val="00921A53"/>
    <w:rsid w:val="009221AD"/>
    <w:rsid w:val="0092304E"/>
    <w:rsid w:val="00930873"/>
    <w:rsid w:val="00935954"/>
    <w:rsid w:val="00941025"/>
    <w:rsid w:val="009418E9"/>
    <w:rsid w:val="0094760D"/>
    <w:rsid w:val="009509B4"/>
    <w:rsid w:val="0095247D"/>
    <w:rsid w:val="009556EE"/>
    <w:rsid w:val="009630A1"/>
    <w:rsid w:val="0096510A"/>
    <w:rsid w:val="00973A14"/>
    <w:rsid w:val="009752B4"/>
    <w:rsid w:val="00975527"/>
    <w:rsid w:val="00997AB7"/>
    <w:rsid w:val="009A53EC"/>
    <w:rsid w:val="009A5744"/>
    <w:rsid w:val="009B2BA4"/>
    <w:rsid w:val="009B4AB7"/>
    <w:rsid w:val="009B7B38"/>
    <w:rsid w:val="009C0D60"/>
    <w:rsid w:val="009C24B2"/>
    <w:rsid w:val="009C38F0"/>
    <w:rsid w:val="009C408C"/>
    <w:rsid w:val="009C4BD2"/>
    <w:rsid w:val="009C7F0F"/>
    <w:rsid w:val="009D79D6"/>
    <w:rsid w:val="009E5659"/>
    <w:rsid w:val="009E5B03"/>
    <w:rsid w:val="009F1428"/>
    <w:rsid w:val="009F6144"/>
    <w:rsid w:val="00A07D85"/>
    <w:rsid w:val="00A20556"/>
    <w:rsid w:val="00A227A1"/>
    <w:rsid w:val="00A26AE0"/>
    <w:rsid w:val="00A26B64"/>
    <w:rsid w:val="00A300E4"/>
    <w:rsid w:val="00A34011"/>
    <w:rsid w:val="00A41AD4"/>
    <w:rsid w:val="00A42170"/>
    <w:rsid w:val="00A45726"/>
    <w:rsid w:val="00A57F1F"/>
    <w:rsid w:val="00A643CD"/>
    <w:rsid w:val="00A73D84"/>
    <w:rsid w:val="00A754E5"/>
    <w:rsid w:val="00A76AC8"/>
    <w:rsid w:val="00A80A69"/>
    <w:rsid w:val="00A83782"/>
    <w:rsid w:val="00A85F30"/>
    <w:rsid w:val="00A86245"/>
    <w:rsid w:val="00A9130B"/>
    <w:rsid w:val="00A93AFA"/>
    <w:rsid w:val="00AA1E7A"/>
    <w:rsid w:val="00AA3ACA"/>
    <w:rsid w:val="00AA41D6"/>
    <w:rsid w:val="00AA6E22"/>
    <w:rsid w:val="00AC38E3"/>
    <w:rsid w:val="00AC5C9F"/>
    <w:rsid w:val="00AC6220"/>
    <w:rsid w:val="00AD0774"/>
    <w:rsid w:val="00AD2D3E"/>
    <w:rsid w:val="00AD5077"/>
    <w:rsid w:val="00AE30FF"/>
    <w:rsid w:val="00AE78F8"/>
    <w:rsid w:val="00B00E75"/>
    <w:rsid w:val="00B01D8A"/>
    <w:rsid w:val="00B325ED"/>
    <w:rsid w:val="00B33907"/>
    <w:rsid w:val="00B351AA"/>
    <w:rsid w:val="00B36690"/>
    <w:rsid w:val="00B43C8E"/>
    <w:rsid w:val="00B47A6F"/>
    <w:rsid w:val="00B51F10"/>
    <w:rsid w:val="00B55141"/>
    <w:rsid w:val="00B55E86"/>
    <w:rsid w:val="00B567F9"/>
    <w:rsid w:val="00B72215"/>
    <w:rsid w:val="00B818C3"/>
    <w:rsid w:val="00B91CDB"/>
    <w:rsid w:val="00BA0F1F"/>
    <w:rsid w:val="00BB44D9"/>
    <w:rsid w:val="00BB69A6"/>
    <w:rsid w:val="00BC1E1F"/>
    <w:rsid w:val="00BC3A37"/>
    <w:rsid w:val="00BC4486"/>
    <w:rsid w:val="00BC7478"/>
    <w:rsid w:val="00BE1B38"/>
    <w:rsid w:val="00BF5109"/>
    <w:rsid w:val="00C013F6"/>
    <w:rsid w:val="00C11D19"/>
    <w:rsid w:val="00C12041"/>
    <w:rsid w:val="00C122F8"/>
    <w:rsid w:val="00C13615"/>
    <w:rsid w:val="00C13922"/>
    <w:rsid w:val="00C15372"/>
    <w:rsid w:val="00C169D3"/>
    <w:rsid w:val="00C21BB9"/>
    <w:rsid w:val="00C221B2"/>
    <w:rsid w:val="00C27269"/>
    <w:rsid w:val="00C3026C"/>
    <w:rsid w:val="00C333EE"/>
    <w:rsid w:val="00C54B46"/>
    <w:rsid w:val="00C66054"/>
    <w:rsid w:val="00C662A3"/>
    <w:rsid w:val="00C671A1"/>
    <w:rsid w:val="00C76D31"/>
    <w:rsid w:val="00C915BF"/>
    <w:rsid w:val="00C939CB"/>
    <w:rsid w:val="00CA698C"/>
    <w:rsid w:val="00CB3146"/>
    <w:rsid w:val="00CB7AED"/>
    <w:rsid w:val="00CC26C6"/>
    <w:rsid w:val="00CD02C1"/>
    <w:rsid w:val="00CD4911"/>
    <w:rsid w:val="00CD517E"/>
    <w:rsid w:val="00CE6698"/>
    <w:rsid w:val="00CF5F41"/>
    <w:rsid w:val="00D023E2"/>
    <w:rsid w:val="00D025AE"/>
    <w:rsid w:val="00D049CA"/>
    <w:rsid w:val="00D11394"/>
    <w:rsid w:val="00D1545B"/>
    <w:rsid w:val="00D20BF3"/>
    <w:rsid w:val="00D22830"/>
    <w:rsid w:val="00D25E62"/>
    <w:rsid w:val="00D261BE"/>
    <w:rsid w:val="00D27FC2"/>
    <w:rsid w:val="00D31E1B"/>
    <w:rsid w:val="00D32601"/>
    <w:rsid w:val="00D43095"/>
    <w:rsid w:val="00D435A6"/>
    <w:rsid w:val="00D524BD"/>
    <w:rsid w:val="00D6160E"/>
    <w:rsid w:val="00D67561"/>
    <w:rsid w:val="00D743BB"/>
    <w:rsid w:val="00D91B8E"/>
    <w:rsid w:val="00D933F8"/>
    <w:rsid w:val="00DA1F1F"/>
    <w:rsid w:val="00DA477E"/>
    <w:rsid w:val="00DA52A9"/>
    <w:rsid w:val="00DB4E66"/>
    <w:rsid w:val="00DB5EF4"/>
    <w:rsid w:val="00DC25D9"/>
    <w:rsid w:val="00DC6B42"/>
    <w:rsid w:val="00DE4796"/>
    <w:rsid w:val="00DE5350"/>
    <w:rsid w:val="00E03A7A"/>
    <w:rsid w:val="00E073E2"/>
    <w:rsid w:val="00E1056D"/>
    <w:rsid w:val="00E15739"/>
    <w:rsid w:val="00E20166"/>
    <w:rsid w:val="00E264B9"/>
    <w:rsid w:val="00E356B7"/>
    <w:rsid w:val="00E3714F"/>
    <w:rsid w:val="00E37643"/>
    <w:rsid w:val="00E405A3"/>
    <w:rsid w:val="00E41BDB"/>
    <w:rsid w:val="00E5252F"/>
    <w:rsid w:val="00E53F64"/>
    <w:rsid w:val="00E55A98"/>
    <w:rsid w:val="00E601EE"/>
    <w:rsid w:val="00E629B3"/>
    <w:rsid w:val="00E702C9"/>
    <w:rsid w:val="00E81345"/>
    <w:rsid w:val="00E92CE8"/>
    <w:rsid w:val="00EA1B05"/>
    <w:rsid w:val="00EA6340"/>
    <w:rsid w:val="00EB7CB0"/>
    <w:rsid w:val="00EC6FB8"/>
    <w:rsid w:val="00ED7CD4"/>
    <w:rsid w:val="00EE22AA"/>
    <w:rsid w:val="00EE45A5"/>
    <w:rsid w:val="00EE4CD2"/>
    <w:rsid w:val="00EE7B97"/>
    <w:rsid w:val="00EF1BF2"/>
    <w:rsid w:val="00EF2403"/>
    <w:rsid w:val="00EF2F6F"/>
    <w:rsid w:val="00F00B62"/>
    <w:rsid w:val="00F018C8"/>
    <w:rsid w:val="00F127A4"/>
    <w:rsid w:val="00F213A7"/>
    <w:rsid w:val="00F23686"/>
    <w:rsid w:val="00F24D03"/>
    <w:rsid w:val="00F2641D"/>
    <w:rsid w:val="00F27AAB"/>
    <w:rsid w:val="00F3173A"/>
    <w:rsid w:val="00F408A4"/>
    <w:rsid w:val="00F40DA1"/>
    <w:rsid w:val="00F42D58"/>
    <w:rsid w:val="00F43256"/>
    <w:rsid w:val="00F4489C"/>
    <w:rsid w:val="00F47C4E"/>
    <w:rsid w:val="00F500EA"/>
    <w:rsid w:val="00F64818"/>
    <w:rsid w:val="00F6577C"/>
    <w:rsid w:val="00F744BD"/>
    <w:rsid w:val="00F77952"/>
    <w:rsid w:val="00F83219"/>
    <w:rsid w:val="00F841DF"/>
    <w:rsid w:val="00F853BE"/>
    <w:rsid w:val="00F85A95"/>
    <w:rsid w:val="00F94B76"/>
    <w:rsid w:val="00FA21F6"/>
    <w:rsid w:val="00FB12D4"/>
    <w:rsid w:val="00FC061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B1DC"/>
  <w15:docId w15:val="{1000614A-B433-42C1-B5A4-37C7AFE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eastAsia="en-US"/>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D20BF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8369D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semiHidden/>
    <w:unhideWhenUsed/>
    <w:qFormat/>
    <w:rsid w:val="0022448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1">
    <w:name w:val="Неразрешено споменаване1"/>
    <w:uiPriority w:val="99"/>
    <w:semiHidden/>
    <w:unhideWhenUsed/>
    <w:rsid w:val="008A7AC2"/>
    <w:rPr>
      <w:color w:val="605E5C"/>
      <w:shd w:val="clear" w:color="auto" w:fill="E1DFDD"/>
    </w:rPr>
  </w:style>
  <w:style w:type="character" w:customStyle="1" w:styleId="Ttulo4Car">
    <w:name w:val="Título 4 Car"/>
    <w:link w:val="Ttulo4"/>
    <w:semiHidden/>
    <w:rsid w:val="00224484"/>
    <w:rPr>
      <w:rFonts w:ascii="Calibri" w:eastAsia="Times New Roman" w:hAnsi="Calibri" w:cs="Times New Roman"/>
      <w:b/>
      <w:bCs/>
      <w:sz w:val="28"/>
      <w:szCs w:val="28"/>
      <w:lang w:val="it-IT" w:eastAsia="en-US"/>
    </w:rPr>
  </w:style>
  <w:style w:type="character" w:customStyle="1" w:styleId="Ttulo2Car">
    <w:name w:val="Título 2 Car"/>
    <w:link w:val="Ttulo2"/>
    <w:rsid w:val="00D20BF3"/>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4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496896"/>
    <w:rPr>
      <w:rFonts w:ascii="Courier New" w:eastAsia="Times New Roman" w:hAnsi="Courier New" w:cs="Courier New"/>
    </w:rPr>
  </w:style>
  <w:style w:type="character" w:customStyle="1" w:styleId="y2iqfc">
    <w:name w:val="y2iqfc"/>
    <w:basedOn w:val="Fuentedeprrafopredeter"/>
    <w:rsid w:val="00496896"/>
  </w:style>
  <w:style w:type="character" w:customStyle="1" w:styleId="Ttulo3Car">
    <w:name w:val="Título 3 Car"/>
    <w:link w:val="Ttulo3"/>
    <w:rsid w:val="008369D4"/>
    <w:rPr>
      <w:rFonts w:ascii="Calibri Light" w:eastAsia="Times New Roman" w:hAnsi="Calibri Light" w:cs="Times New Roman"/>
      <w:b/>
      <w:bCs/>
      <w:sz w:val="26"/>
      <w:szCs w:val="26"/>
      <w:lang w:val="it-IT"/>
    </w:rPr>
  </w:style>
  <w:style w:type="paragraph" w:styleId="Revisin">
    <w:name w:val="Revision"/>
    <w:hidden/>
    <w:uiPriority w:val="99"/>
    <w:semiHidden/>
    <w:rsid w:val="00F23686"/>
    <w:rPr>
      <w:sz w:val="22"/>
      <w:szCs w:val="22"/>
      <w:lang w:val="it-IT" w:eastAsia="en-US"/>
    </w:rPr>
  </w:style>
  <w:style w:type="character" w:styleId="Refdecomentario">
    <w:name w:val="annotation reference"/>
    <w:semiHidden/>
    <w:unhideWhenUsed/>
    <w:rsid w:val="003A47E2"/>
    <w:rPr>
      <w:sz w:val="16"/>
      <w:szCs w:val="16"/>
    </w:rPr>
  </w:style>
  <w:style w:type="paragraph" w:styleId="Textocomentario">
    <w:name w:val="annotation text"/>
    <w:basedOn w:val="Normal"/>
    <w:link w:val="TextocomentarioCar"/>
    <w:semiHidden/>
    <w:unhideWhenUsed/>
    <w:rsid w:val="003A47E2"/>
    <w:rPr>
      <w:sz w:val="20"/>
      <w:szCs w:val="20"/>
    </w:rPr>
  </w:style>
  <w:style w:type="character" w:customStyle="1" w:styleId="TextocomentarioCar">
    <w:name w:val="Texto comentario Car"/>
    <w:link w:val="Textocomentario"/>
    <w:semiHidden/>
    <w:rsid w:val="003A47E2"/>
    <w:rPr>
      <w:lang w:val="it-IT" w:eastAsia="en-US"/>
    </w:rPr>
  </w:style>
  <w:style w:type="paragraph" w:styleId="Asuntodelcomentario">
    <w:name w:val="annotation subject"/>
    <w:basedOn w:val="Textocomentario"/>
    <w:next w:val="Textocomentario"/>
    <w:link w:val="AsuntodelcomentarioCar"/>
    <w:semiHidden/>
    <w:unhideWhenUsed/>
    <w:rsid w:val="003A47E2"/>
    <w:rPr>
      <w:b/>
      <w:bCs/>
    </w:rPr>
  </w:style>
  <w:style w:type="character" w:customStyle="1" w:styleId="AsuntodelcomentarioCar">
    <w:name w:val="Asunto del comentario Car"/>
    <w:link w:val="Asuntodelcomentario"/>
    <w:semiHidden/>
    <w:rsid w:val="003A47E2"/>
    <w:rPr>
      <w:b/>
      <w:bCs/>
      <w:lang w:val="it-IT" w:eastAsia="en-US"/>
    </w:rPr>
  </w:style>
  <w:style w:type="paragraph" w:styleId="TtuloTDC">
    <w:name w:val="TOC Heading"/>
    <w:basedOn w:val="Ttulo1"/>
    <w:next w:val="Normal"/>
    <w:uiPriority w:val="39"/>
    <w:semiHidden/>
    <w:unhideWhenUsed/>
    <w:qFormat/>
    <w:rsid w:val="009205D9"/>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unhideWhenUsed/>
    <w:rsid w:val="009205D9"/>
  </w:style>
  <w:style w:type="paragraph" w:styleId="TDC2">
    <w:name w:val="toc 2"/>
    <w:basedOn w:val="Normal"/>
    <w:next w:val="Normal"/>
    <w:autoRedefine/>
    <w:uiPriority w:val="39"/>
    <w:unhideWhenUsed/>
    <w:rsid w:val="009205D9"/>
    <w:pPr>
      <w:ind w:left="220"/>
    </w:pPr>
  </w:style>
  <w:style w:type="paragraph" w:styleId="TDC3">
    <w:name w:val="toc 3"/>
    <w:basedOn w:val="Normal"/>
    <w:next w:val="Normal"/>
    <w:autoRedefine/>
    <w:uiPriority w:val="39"/>
    <w:unhideWhenUsed/>
    <w:rsid w:val="009205D9"/>
    <w:pPr>
      <w:ind w:left="440"/>
    </w:pPr>
  </w:style>
  <w:style w:type="character" w:styleId="Textodelmarcadordeposicin">
    <w:name w:val="Placeholder Text"/>
    <w:uiPriority w:val="99"/>
    <w:semiHidden/>
    <w:rsid w:val="00861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443">
      <w:bodyDiv w:val="1"/>
      <w:marLeft w:val="0"/>
      <w:marRight w:val="0"/>
      <w:marTop w:val="0"/>
      <w:marBottom w:val="0"/>
      <w:divBdr>
        <w:top w:val="none" w:sz="0" w:space="0" w:color="auto"/>
        <w:left w:val="none" w:sz="0" w:space="0" w:color="auto"/>
        <w:bottom w:val="none" w:sz="0" w:space="0" w:color="auto"/>
        <w:right w:val="none" w:sz="0" w:space="0" w:color="auto"/>
      </w:divBdr>
    </w:div>
    <w:div w:id="193422392">
      <w:bodyDiv w:val="1"/>
      <w:marLeft w:val="0"/>
      <w:marRight w:val="0"/>
      <w:marTop w:val="0"/>
      <w:marBottom w:val="0"/>
      <w:divBdr>
        <w:top w:val="none" w:sz="0" w:space="0" w:color="auto"/>
        <w:left w:val="none" w:sz="0" w:space="0" w:color="auto"/>
        <w:bottom w:val="none" w:sz="0" w:space="0" w:color="auto"/>
        <w:right w:val="none" w:sz="0" w:space="0" w:color="auto"/>
      </w:divBdr>
    </w:div>
    <w:div w:id="300841365">
      <w:bodyDiv w:val="1"/>
      <w:marLeft w:val="0"/>
      <w:marRight w:val="0"/>
      <w:marTop w:val="0"/>
      <w:marBottom w:val="0"/>
      <w:divBdr>
        <w:top w:val="none" w:sz="0" w:space="0" w:color="auto"/>
        <w:left w:val="none" w:sz="0" w:space="0" w:color="auto"/>
        <w:bottom w:val="none" w:sz="0" w:space="0" w:color="auto"/>
        <w:right w:val="none" w:sz="0" w:space="0" w:color="auto"/>
      </w:divBdr>
    </w:div>
    <w:div w:id="317653032">
      <w:bodyDiv w:val="1"/>
      <w:marLeft w:val="0"/>
      <w:marRight w:val="0"/>
      <w:marTop w:val="0"/>
      <w:marBottom w:val="0"/>
      <w:divBdr>
        <w:top w:val="none" w:sz="0" w:space="0" w:color="auto"/>
        <w:left w:val="none" w:sz="0" w:space="0" w:color="auto"/>
        <w:bottom w:val="none" w:sz="0" w:space="0" w:color="auto"/>
        <w:right w:val="none" w:sz="0" w:space="0" w:color="auto"/>
      </w:divBdr>
    </w:div>
    <w:div w:id="343673708">
      <w:bodyDiv w:val="1"/>
      <w:marLeft w:val="0"/>
      <w:marRight w:val="0"/>
      <w:marTop w:val="0"/>
      <w:marBottom w:val="0"/>
      <w:divBdr>
        <w:top w:val="none" w:sz="0" w:space="0" w:color="auto"/>
        <w:left w:val="none" w:sz="0" w:space="0" w:color="auto"/>
        <w:bottom w:val="none" w:sz="0" w:space="0" w:color="auto"/>
        <w:right w:val="none" w:sz="0" w:space="0" w:color="auto"/>
      </w:divBdr>
    </w:div>
    <w:div w:id="380129100">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877473455">
      <w:bodyDiv w:val="1"/>
      <w:marLeft w:val="0"/>
      <w:marRight w:val="0"/>
      <w:marTop w:val="0"/>
      <w:marBottom w:val="0"/>
      <w:divBdr>
        <w:top w:val="none" w:sz="0" w:space="0" w:color="auto"/>
        <w:left w:val="none" w:sz="0" w:space="0" w:color="auto"/>
        <w:bottom w:val="none" w:sz="0" w:space="0" w:color="auto"/>
        <w:right w:val="none" w:sz="0" w:space="0" w:color="auto"/>
      </w:divBdr>
    </w:div>
    <w:div w:id="992492151">
      <w:bodyDiv w:val="1"/>
      <w:marLeft w:val="0"/>
      <w:marRight w:val="0"/>
      <w:marTop w:val="0"/>
      <w:marBottom w:val="0"/>
      <w:divBdr>
        <w:top w:val="none" w:sz="0" w:space="0" w:color="auto"/>
        <w:left w:val="none" w:sz="0" w:space="0" w:color="auto"/>
        <w:bottom w:val="none" w:sz="0" w:space="0" w:color="auto"/>
        <w:right w:val="none" w:sz="0" w:space="0" w:color="auto"/>
      </w:divBdr>
    </w:div>
    <w:div w:id="1041711142">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65303579">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01033949">
      <w:bodyDiv w:val="1"/>
      <w:marLeft w:val="0"/>
      <w:marRight w:val="0"/>
      <w:marTop w:val="0"/>
      <w:marBottom w:val="0"/>
      <w:divBdr>
        <w:top w:val="none" w:sz="0" w:space="0" w:color="auto"/>
        <w:left w:val="none" w:sz="0" w:space="0" w:color="auto"/>
        <w:bottom w:val="none" w:sz="0" w:space="0" w:color="auto"/>
        <w:right w:val="none" w:sz="0" w:space="0" w:color="auto"/>
      </w:divBdr>
    </w:div>
    <w:div w:id="1373387769">
      <w:bodyDiv w:val="1"/>
      <w:marLeft w:val="0"/>
      <w:marRight w:val="0"/>
      <w:marTop w:val="0"/>
      <w:marBottom w:val="0"/>
      <w:divBdr>
        <w:top w:val="none" w:sz="0" w:space="0" w:color="auto"/>
        <w:left w:val="none" w:sz="0" w:space="0" w:color="auto"/>
        <w:bottom w:val="none" w:sz="0" w:space="0" w:color="auto"/>
        <w:right w:val="none" w:sz="0" w:space="0" w:color="auto"/>
      </w:divBdr>
    </w:div>
    <w:div w:id="1426995406">
      <w:bodyDiv w:val="1"/>
      <w:marLeft w:val="0"/>
      <w:marRight w:val="0"/>
      <w:marTop w:val="0"/>
      <w:marBottom w:val="0"/>
      <w:divBdr>
        <w:top w:val="none" w:sz="0" w:space="0" w:color="auto"/>
        <w:left w:val="none" w:sz="0" w:space="0" w:color="auto"/>
        <w:bottom w:val="none" w:sz="0" w:space="0" w:color="auto"/>
        <w:right w:val="none" w:sz="0" w:space="0" w:color="auto"/>
      </w:divBdr>
    </w:div>
    <w:div w:id="1447847500">
      <w:bodyDiv w:val="1"/>
      <w:marLeft w:val="0"/>
      <w:marRight w:val="0"/>
      <w:marTop w:val="0"/>
      <w:marBottom w:val="0"/>
      <w:divBdr>
        <w:top w:val="none" w:sz="0" w:space="0" w:color="auto"/>
        <w:left w:val="none" w:sz="0" w:space="0" w:color="auto"/>
        <w:bottom w:val="none" w:sz="0" w:space="0" w:color="auto"/>
        <w:right w:val="none" w:sz="0" w:space="0" w:color="auto"/>
      </w:divBdr>
    </w:div>
    <w:div w:id="1700470351">
      <w:bodyDiv w:val="1"/>
      <w:marLeft w:val="0"/>
      <w:marRight w:val="0"/>
      <w:marTop w:val="0"/>
      <w:marBottom w:val="0"/>
      <w:divBdr>
        <w:top w:val="none" w:sz="0" w:space="0" w:color="auto"/>
        <w:left w:val="none" w:sz="0" w:space="0" w:color="auto"/>
        <w:bottom w:val="none" w:sz="0" w:space="0" w:color="auto"/>
        <w:right w:val="none" w:sz="0" w:space="0" w:color="auto"/>
      </w:divBdr>
    </w:div>
    <w:div w:id="1840998323">
      <w:bodyDiv w:val="1"/>
      <w:marLeft w:val="0"/>
      <w:marRight w:val="0"/>
      <w:marTop w:val="0"/>
      <w:marBottom w:val="0"/>
      <w:divBdr>
        <w:top w:val="none" w:sz="0" w:space="0" w:color="auto"/>
        <w:left w:val="none" w:sz="0" w:space="0" w:color="auto"/>
        <w:bottom w:val="none" w:sz="0" w:space="0" w:color="auto"/>
        <w:right w:val="none" w:sz="0" w:space="0" w:color="auto"/>
      </w:divBdr>
    </w:div>
    <w:div w:id="18591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default/files/food-farming-fisheries/key_policies/documents/commission-decision-c2020-8663-annex.pdf" TargetMode="External"/><Relationship Id="rId13" Type="http://schemas.openxmlformats.org/officeDocument/2006/relationships/hyperlink" Target="https://ec.europa.eu/info/food-farming-fisheries/sustainability_en" TargetMode="External"/><Relationship Id="rId18" Type="http://schemas.openxmlformats.org/officeDocument/2006/relationships/hyperlink" Target="https://ec.europa.eu/chafea/agri/enter-new-markets/support-for-exporters" TargetMode="External"/><Relationship Id="rId26"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c.europa.eu/info/food-farming-fisheries/farming/organic-farming_en" TargetMode="External"/><Relationship Id="rId17" Type="http://schemas.openxmlformats.org/officeDocument/2006/relationships/hyperlink" Target="https://ec.europa.eu/chafea/agri/en/funding-opportunities/calls-for-proposals" TargetMode="External"/><Relationship Id="rId25" Type="http://schemas.openxmlformats.org/officeDocument/2006/relationships/hyperlink" Target="https://www.investopedia.com/terms/i/internationalization.asp" TargetMode="External"/><Relationship Id="rId2" Type="http://schemas.openxmlformats.org/officeDocument/2006/relationships/numbering" Target="numbering.xml"/><Relationship Id="rId16" Type="http://schemas.openxmlformats.org/officeDocument/2006/relationships/hyperlink" Target="https://ec.europa.eu/info/sites/default/files/food-farming-fisheries/key_policies/documents/commission-decision-c2021-8835-annex_en.pdf"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trategy/priorities-2019-2024/european-green-deal_en" TargetMode="External"/><Relationship Id="rId24" Type="http://schemas.openxmlformats.org/officeDocument/2006/relationships/hyperlink" Target="https://www.investopedia.com/terms/c/customer_relation_management.asp" TargetMode="External"/><Relationship Id="rId5" Type="http://schemas.openxmlformats.org/officeDocument/2006/relationships/webSettings" Target="webSettings.xml"/><Relationship Id="rId15" Type="http://schemas.openxmlformats.org/officeDocument/2006/relationships/hyperlink" Target="https://ec.europa.eu/info/food-farming-fisheries/food-safety-and-quality/certification/quality-labels_en" TargetMode="External"/><Relationship Id="rId23" Type="http://schemas.openxmlformats.org/officeDocument/2006/relationships/hyperlink" Target="https://searchcustomerexperience.techtarget.com/definition/CRM-customer-relationship-management" TargetMode="External"/><Relationship Id="rId28" Type="http://schemas.openxmlformats.org/officeDocument/2006/relationships/fontTable" Target="fontTable.xml"/><Relationship Id="rId10" Type="http://schemas.openxmlformats.org/officeDocument/2006/relationships/hyperlink" Target="https://ec.europa.eu/info/food-farming-fisheries/key-policies/common-agricultural-policy/market-measures/promotion-eu-farm-products_e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ec.europa.eu/chafea/agri/sites/default/files/multi-selected-2020_en.pdf" TargetMode="External"/><Relationship Id="rId14" Type="http://schemas.openxmlformats.org/officeDocument/2006/relationships/hyperlink" Target="https://ec.europa.eu/info/food-farming-fisheries/food-safety-and-quality_en"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79F4-2D2F-401C-8B76-6133F529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9029</TotalTime>
  <Pages>13</Pages>
  <Words>4082</Words>
  <Characters>22455</Characters>
  <Application>Microsoft Office Word</Application>
  <DocSecurity>0</DocSecurity>
  <Lines>187</Lines>
  <Paragraphs>52</Paragraphs>
  <ScaleCrop>false</ScaleCrop>
  <HeadingPairs>
    <vt:vector size="6" baseType="variant">
      <vt:variant>
        <vt:lpstr>Title</vt:lpstr>
      </vt:variant>
      <vt:variant>
        <vt:i4>1</vt:i4>
      </vt:variant>
      <vt:variant>
        <vt:lpstr>Заглавие</vt:lpstr>
      </vt:variant>
      <vt:variant>
        <vt:i4>1</vt:i4>
      </vt:variant>
      <vt:variant>
        <vt:lpstr>Título</vt:lpstr>
      </vt:variant>
      <vt:variant>
        <vt:i4>1</vt:i4>
      </vt:variant>
    </vt:vector>
  </HeadingPairs>
  <TitlesOfParts>
    <vt:vector size="3" baseType="lpstr">
      <vt:lpstr>EKWALS  logo</vt:lpstr>
      <vt:lpstr>EKWALS  logo</vt:lpstr>
      <vt:lpstr>EKWALS  logo</vt:lpstr>
    </vt:vector>
  </TitlesOfParts>
  <Company/>
  <LinksUpToDate>false</LinksUpToDate>
  <CharactersWithSpaces>26485</CharactersWithSpaces>
  <SharedDoc>false</SharedDoc>
  <HLinks>
    <vt:vector size="66" baseType="variant">
      <vt:variant>
        <vt:i4>393311</vt:i4>
      </vt:variant>
      <vt:variant>
        <vt:i4>30</vt:i4>
      </vt:variant>
      <vt:variant>
        <vt:i4>0</vt:i4>
      </vt:variant>
      <vt:variant>
        <vt:i4>5</vt:i4>
      </vt:variant>
      <vt:variant>
        <vt:lpwstr>https://ec.europa.eu/chafea/agri/enter-new-markets/support-for-exporters</vt:lpwstr>
      </vt:variant>
      <vt:variant>
        <vt:lpwstr/>
      </vt:variant>
      <vt:variant>
        <vt:i4>1704018</vt:i4>
      </vt:variant>
      <vt:variant>
        <vt:i4>27</vt:i4>
      </vt:variant>
      <vt:variant>
        <vt:i4>0</vt:i4>
      </vt:variant>
      <vt:variant>
        <vt:i4>5</vt:i4>
      </vt:variant>
      <vt:variant>
        <vt:lpwstr>https://ec.europa.eu/chafea/agri/faq.html</vt:lpwstr>
      </vt:variant>
      <vt:variant>
        <vt:lpwstr/>
      </vt:variant>
      <vt:variant>
        <vt:i4>5505043</vt:i4>
      </vt:variant>
      <vt:variant>
        <vt:i4>24</vt:i4>
      </vt:variant>
      <vt:variant>
        <vt:i4>0</vt:i4>
      </vt:variant>
      <vt:variant>
        <vt:i4>5</vt:i4>
      </vt:variant>
      <vt:variant>
        <vt:lpwstr>https://ec.europa.eu/chafea/agri/en/funding-opportunities/calls-for-proposals</vt:lpwstr>
      </vt:variant>
      <vt:variant>
        <vt:lpwstr/>
      </vt:variant>
      <vt:variant>
        <vt:i4>6881381</vt:i4>
      </vt:variant>
      <vt:variant>
        <vt:i4>21</vt:i4>
      </vt:variant>
      <vt:variant>
        <vt:i4>0</vt:i4>
      </vt:variant>
      <vt:variant>
        <vt:i4>5</vt:i4>
      </vt:variant>
      <vt:variant>
        <vt:lpwstr>https://ec.europa.eu/info/sites/default/files/food-farming-fisheries/key_policies/documents/commission-decision-c2021-8835-annex_en.pdf</vt:lpwstr>
      </vt:variant>
      <vt:variant>
        <vt:lpwstr/>
      </vt:variant>
      <vt:variant>
        <vt:i4>7143517</vt:i4>
      </vt:variant>
      <vt:variant>
        <vt:i4>18</vt:i4>
      </vt:variant>
      <vt:variant>
        <vt:i4>0</vt:i4>
      </vt:variant>
      <vt:variant>
        <vt:i4>5</vt:i4>
      </vt:variant>
      <vt:variant>
        <vt:lpwstr>https://ec.europa.eu/info/food-farming-fisheries/food-safety-and-quality/certification/quality-labels_en</vt:lpwstr>
      </vt:variant>
      <vt:variant>
        <vt:lpwstr/>
      </vt:variant>
      <vt:variant>
        <vt:i4>2883679</vt:i4>
      </vt:variant>
      <vt:variant>
        <vt:i4>15</vt:i4>
      </vt:variant>
      <vt:variant>
        <vt:i4>0</vt:i4>
      </vt:variant>
      <vt:variant>
        <vt:i4>5</vt:i4>
      </vt:variant>
      <vt:variant>
        <vt:lpwstr>https://ec.europa.eu/info/food-farming-fisheries/food-safety-and-quality_en</vt:lpwstr>
      </vt:variant>
      <vt:variant>
        <vt:lpwstr/>
      </vt:variant>
      <vt:variant>
        <vt:i4>5308540</vt:i4>
      </vt:variant>
      <vt:variant>
        <vt:i4>12</vt:i4>
      </vt:variant>
      <vt:variant>
        <vt:i4>0</vt:i4>
      </vt:variant>
      <vt:variant>
        <vt:i4>5</vt:i4>
      </vt:variant>
      <vt:variant>
        <vt:lpwstr>https://ec.europa.eu/info/food-farming-fisheries/sustainability_en</vt:lpwstr>
      </vt:variant>
      <vt:variant>
        <vt:lpwstr/>
      </vt:variant>
      <vt:variant>
        <vt:i4>7667790</vt:i4>
      </vt:variant>
      <vt:variant>
        <vt:i4>9</vt:i4>
      </vt:variant>
      <vt:variant>
        <vt:i4>0</vt:i4>
      </vt:variant>
      <vt:variant>
        <vt:i4>5</vt:i4>
      </vt:variant>
      <vt:variant>
        <vt:lpwstr>https://ec.europa.eu/info/food-farming-fisheries/farming/organic-farming_en</vt:lpwstr>
      </vt:variant>
      <vt:variant>
        <vt:lpwstr/>
      </vt:variant>
      <vt:variant>
        <vt:i4>6225983</vt:i4>
      </vt:variant>
      <vt:variant>
        <vt:i4>6</vt:i4>
      </vt:variant>
      <vt:variant>
        <vt:i4>0</vt:i4>
      </vt:variant>
      <vt:variant>
        <vt:i4>5</vt:i4>
      </vt:variant>
      <vt:variant>
        <vt:lpwstr>https://ec.europa.eu/info/strategy/priorities-2019-2024/european-green-deal_en</vt:lpwstr>
      </vt:variant>
      <vt:variant>
        <vt:lpwstr/>
      </vt:variant>
      <vt:variant>
        <vt:i4>5767291</vt:i4>
      </vt:variant>
      <vt:variant>
        <vt:i4>3</vt:i4>
      </vt:variant>
      <vt:variant>
        <vt:i4>0</vt:i4>
      </vt:variant>
      <vt:variant>
        <vt:i4>5</vt:i4>
      </vt:variant>
      <vt:variant>
        <vt:lpwstr>https://ec.europa.eu/info/food-farming-fisheries/key-policies/common-agricultural-policy/market-measures/promotion-eu-farm-products_en</vt:lpwstr>
      </vt:variant>
      <vt:variant>
        <vt:lpwstr/>
      </vt:variant>
      <vt:variant>
        <vt:i4>5767274</vt:i4>
      </vt:variant>
      <vt:variant>
        <vt:i4>0</vt:i4>
      </vt:variant>
      <vt:variant>
        <vt:i4>0</vt:i4>
      </vt:variant>
      <vt:variant>
        <vt:i4>5</vt:i4>
      </vt:variant>
      <vt:variant>
        <vt:lpwstr>https://ec.europa.eu/info/sites/default/files/food-farming-fisheries/key_policies/documents/commission-decision-c2020-8663-annex.pdf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 на EKWALS</dc:title>
  <dc:subject/>
  <dc:creator>Hp</dc:creator>
  <cp:keywords/>
  <dc:description/>
  <cp:lastModifiedBy>Monia Coppola</cp:lastModifiedBy>
  <cp:revision>103</cp:revision>
  <cp:lastPrinted>2022-01-04T08:43:00Z</cp:lastPrinted>
  <dcterms:created xsi:type="dcterms:W3CDTF">2021-11-24T13:34:00Z</dcterms:created>
  <dcterms:modified xsi:type="dcterms:W3CDTF">2022-06-02T10:18:00Z</dcterms:modified>
  <cp:category/>
</cp:coreProperties>
</file>